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69. Modern Bastar and Cultural Change</w:t>
      </w:r>
    </w:p>
    <w:p>
      <w:pPr>
        <w:spacing w:before="0" w:after="280"/>
        <w:jc w:val="left"/>
      </w:pPr>
      <w:r>
        <w:rPr>
          <w:rFonts w:ascii="Calibri" w:hAnsi="Calibri"/>
          <w:i/>
          <w:color w:val="2D5A27"/>
          <w:sz w:val="26"/>
        </w:rPr>
        <w:t>Urbanization, Mobile Digital Access, Youth Aspiration &amp; Continuity of Identity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BST-DOC-069</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Urban &amp; Semi-Urban Centers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Sociology of Modernization &amp; Cultural Change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(Sociological Field Surveys, Census of India 2011/2021 Data)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Dialectic of Tradition and Digital Modernity</w:t>
      </w:r>
    </w:p>
    <w:p>
      <w:r>
        <w:t>Contemporary Bastar is undergoing rapid socio-cultural evolution driven by high-speed fiber-optic connectivity, national highway expansions, and higher education. While youth participate in digital creative economies and modern athletics, core cultural pillars—such as Devigudi worship, community marriage negotiations, and participation in the Dussehra chariot pulling—remain resiliently unbroken.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