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70. Socioeconomic Profile</w:t>
      </w:r>
    </w:p>
    <w:p>
      <w:pPr>
        <w:spacing w:before="0" w:after="280"/>
        <w:jc w:val="left"/>
      </w:pPr>
      <w:r>
        <w:rPr>
          <w:rFonts w:ascii="Calibri" w:hAnsi="Calibri"/>
          <w:i/>
          <w:color w:val="2D5A27"/>
          <w:sz w:val="26"/>
        </w:rPr>
        <w:t>Demographics, Female Sex Ratio, Human Development Indicators, and Agrarian Baseline</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BST-DOC-070</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Bastar Division (All 7 Districts)</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Demography, Development Economics &amp; Gender Sociology</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(Census of India, NITI Aayog Aspirational Districts Indicators)</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Demographic and Gender Profile</w:t>
      </w:r>
    </w:p>
    <w:p>
      <w:r>
        <w:t>A striking demographic feature of Bastar Division is its positive female sex ratio (averaging 1,020 to 1,040 females per 1,000 males across tribal districts), significantly higher than the national Indian average. This reflects high cultural gender parity, absence of female foeticide, and equal participation of women in agricultural, market, and social spheres.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