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71. Education and Development</w:t>
      </w:r>
    </w:p>
    <w:p>
      <w:pPr>
        <w:spacing w:before="0" w:after="280"/>
        <w:jc w:val="left"/>
      </w:pPr>
      <w:r>
        <w:rPr>
          <w:rFonts w:ascii="Calibri" w:hAnsi="Calibri"/>
          <w:i/>
          <w:color w:val="2D5A27"/>
          <w:sz w:val="26"/>
        </w:rPr>
        <w:t>Ashram Shalas, Multilingual Education (Gondi/Halbi), and Higher Institutions</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BST-DOC-071</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Bastar Division Educational Infrastructure</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Educational Policy, Tribal Pedagogy &amp; Human Resource Development</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(Dept of School Education CG, Ministry of Tribal Affairs)</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Educational Transformation and Mother-Tongue Pedagogy</w:t>
      </w:r>
    </w:p>
    <w:p>
      <w:r>
        <w:t>Education in Bastar has expanded through residential 'Ashram Shalas', Eklavya Model Residential Schools (EMRS), and bilingual education initiatives incorporating Gondi, Halbi, and Bhatri in primary grades to bridge the transition to standard Hindi. Higher education is anchored by Shaheed Mahendra Karma Vishwavidyalaya (Bastar University) and Government Medical College, Jagdalpur.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