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72. Tribal Rights and Governance Context</w:t>
      </w:r>
    </w:p>
    <w:p>
      <w:pPr>
        <w:spacing w:before="0" w:after="280"/>
        <w:jc w:val="left"/>
      </w:pPr>
      <w:r>
        <w:rPr>
          <w:rFonts w:ascii="Calibri" w:hAnsi="Calibri"/>
          <w:i/>
          <w:color w:val="2D5A27"/>
          <w:sz w:val="26"/>
        </w:rPr>
        <w:t>Fifth Schedule, PESA Act 1996, Gram Sabha Sovereignty, and Customary Law</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BST-DOC-072</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Scheduled Areas under Fifth Schedule (Bastar Division)</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Constitutional Law, Tribal Jurisprudence &amp; Local Self-Governance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(Constitution of India, Ministry of Panchayati Raj, Supreme Court Rulings)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Constitutional Protection and Gram Sabha Empowerment</w:t>
      </w:r>
    </w:p>
    <w:p>
      <w:r>
        <w:t>The entire Bastar Division is notified under the Fifth Schedule of the Constitution of India. Under the Provisions of the Panchayats (Extension to Scheduled Areas) Act (PESA), 1996, and Chhattisgarh PESA Rules 2022, the village Gram Sabha is empowered with statutory sovereignty over minor forest produce, dispute resolution under customary law, water resources, and mandatory prior informed consent for any land acquisition or mining exploration.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