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color w:val="8B3A1C"/>
          <w:sz w:val="44"/>
        </w:rPr>
        <w:t>73. Forest Rights and Community Relationships</w:t>
      </w:r>
    </w:p>
    <w:p>
      <w:pPr>
        <w:spacing w:before="0" w:after="280"/>
        <w:jc w:val="left"/>
      </w:pPr>
      <w:r>
        <w:rPr>
          <w:rFonts w:ascii="Calibri" w:hAnsi="Calibri"/>
          <w:i/>
          <w:color w:val="2D5A27"/>
          <w:sz w:val="26"/>
        </w:rPr>
        <w:t>The Forest Rights Act (FRA 2006): Individual &amp; Community Forest Resource Rights</w:t>
      </w:r>
    </w:p>
    <w:tbl>
      <w:tblPr>
        <w:tblW w:type="auto" w:w="0"/>
        <w:jc w:val="center"/>
        <w:tblLook w:firstColumn="1" w:firstRow="1" w:lastColumn="0" w:lastRow="0" w:noHBand="0" w:noVBand="1" w:val="04A0"/>
        <w:tblBorders>
          <w:top w:val="single" w:sz="8" w:space="0" w:color="C59B27"/>
          <w:bottom w:val="single" w:sz="8" w:space="0" w:color="C59B27"/>
          <w:insideH w:val="single" w:sz="8" w:space="0" w:color="C59B27"/>
          <w:insideV w:val="none"/>
          <w:left w:val="none"/>
          <w:right w:val="none"/>
        </w:tblBorders>
      </w:tblPr>
      <w:tblGrid>
        <w:gridCol w:w="4680"/>
        <w:gridCol w:w="4680"/>
      </w:tblGrid>
      <w:tr>
        <w:tc>
          <w:tcPr>
            <w:tcW w:type="dxa" w:w="3168"/>
            <w:shd w:fill="FDF8EE"/>
            <w:tcMar>
              <w:top w:w="80" w:type="dxa"/>
              <w:bottom w:w="80" w:type="dxa"/>
              <w:left w:w="120" w:type="dxa"/>
              <w:right w:w="120" w:type="dxa"/>
            </w:tcMar>
          </w:tcPr>
          <w:p>
            <w:pPr>
              <w:spacing w:after="0" w:before="0"/>
            </w:pPr>
            <w:r>
              <w:rPr>
                <w:b/>
                <w:color w:val="8B3A1C"/>
                <w:sz w:val="19"/>
              </w:rPr>
              <w:t>Document ID</w:t>
            </w:r>
          </w:p>
        </w:tc>
        <w:tc>
          <w:tcPr>
            <w:tcW w:type="dxa" w:w="6192"/>
            <w:shd w:fill="FFFFFF"/>
            <w:tcMar>
              <w:top w:w="80" w:type="dxa"/>
              <w:bottom w:w="80" w:type="dxa"/>
              <w:left w:w="120" w:type="dxa"/>
              <w:right w:w="120" w:type="dxa"/>
            </w:tcMar>
          </w:tcPr>
          <w:p>
            <w:pPr>
              <w:spacing w:after="0" w:before="0"/>
            </w:pPr>
            <w:r>
              <w:rPr>
                <w:color w:val="1A252F"/>
                <w:sz w:val="19"/>
              </w:rPr>
              <w:t>BST-DOC-073</w:t>
            </w:r>
          </w:p>
        </w:tc>
      </w:tr>
      <w:tr>
        <w:tc>
          <w:tcPr>
            <w:tcW w:type="dxa" w:w="3168"/>
            <w:shd w:fill="FDF8EE"/>
            <w:tcMar>
              <w:top w:w="80" w:type="dxa"/>
              <w:bottom w:w="80" w:type="dxa"/>
              <w:left w:w="120" w:type="dxa"/>
              <w:right w:w="120" w:type="dxa"/>
            </w:tcMar>
          </w:tcPr>
          <w:p>
            <w:pPr>
              <w:spacing w:after="0" w:before="0"/>
            </w:pPr>
            <w:r>
              <w:rPr>
                <w:b/>
                <w:color w:val="8B3A1C"/>
                <w:sz w:val="19"/>
              </w:rPr>
              <w:t>Geographic Scope</w:t>
            </w:r>
          </w:p>
        </w:tc>
        <w:tc>
          <w:tcPr>
            <w:tcW w:type="dxa" w:w="6192"/>
            <w:shd w:fill="FFFFFF"/>
            <w:tcMar>
              <w:top w:w="80" w:type="dxa"/>
              <w:bottom w:w="80" w:type="dxa"/>
              <w:left w:w="120" w:type="dxa"/>
              <w:right w:w="120" w:type="dxa"/>
            </w:tcMar>
          </w:tcPr>
          <w:p>
            <w:pPr>
              <w:spacing w:after="0" w:before="0"/>
            </w:pPr>
            <w:r>
              <w:rPr>
                <w:color w:val="1A252F"/>
                <w:sz w:val="19"/>
              </w:rPr>
              <w:t>Bastar Division Forest Tracts &amp; Protected Areas</w:t>
            </w:r>
          </w:p>
        </w:tc>
      </w:tr>
      <w:tr>
        <w:tc>
          <w:tcPr>
            <w:tcW w:type="dxa" w:w="3168"/>
            <w:shd w:fill="FDF8EE"/>
            <w:tcMar>
              <w:top w:w="80" w:type="dxa"/>
              <w:bottom w:w="80" w:type="dxa"/>
              <w:left w:w="120" w:type="dxa"/>
              <w:right w:w="120" w:type="dxa"/>
            </w:tcMar>
          </w:tcPr>
          <w:p>
            <w:pPr>
              <w:spacing w:after="0" w:before="0"/>
            </w:pPr>
            <w:r>
              <w:rPr>
                <w:b/>
                <w:color w:val="8B3A1C"/>
                <w:sz w:val="19"/>
              </w:rPr>
              <w:t>Primary Classification</w:t>
            </w:r>
          </w:p>
        </w:tc>
        <w:tc>
          <w:tcPr>
            <w:tcW w:type="dxa" w:w="6192"/>
            <w:shd w:fill="FFFFFF"/>
            <w:tcMar>
              <w:top w:w="80" w:type="dxa"/>
              <w:bottom w:w="80" w:type="dxa"/>
              <w:left w:w="120" w:type="dxa"/>
              <w:right w:w="120" w:type="dxa"/>
            </w:tcMar>
          </w:tcPr>
          <w:p>
            <w:pPr>
              <w:spacing w:after="0" w:before="0"/>
            </w:pPr>
            <w:r>
              <w:rPr>
                <w:color w:val="1A252F"/>
                <w:sz w:val="19"/>
              </w:rPr>
              <w:t>Environmental Law, Agrarian Land Titling &amp; Community Forestry</w:t>
            </w:r>
          </w:p>
        </w:tc>
      </w:tr>
      <w:tr>
        <w:tc>
          <w:tcPr>
            <w:tcW w:type="dxa" w:w="3168"/>
            <w:shd w:fill="FDF8EE"/>
            <w:tcMar>
              <w:top w:w="80" w:type="dxa"/>
              <w:bottom w:w="80" w:type="dxa"/>
              <w:left w:w="120" w:type="dxa"/>
              <w:right w:w="120" w:type="dxa"/>
            </w:tcMar>
          </w:tcPr>
          <w:p>
            <w:pPr>
              <w:spacing w:after="0" w:before="0"/>
            </w:pPr>
            <w:r>
              <w:rPr>
                <w:b/>
                <w:color w:val="8B3A1C"/>
                <w:sz w:val="19"/>
              </w:rPr>
              <w:t>Confidence Level</w:t>
            </w:r>
          </w:p>
        </w:tc>
        <w:tc>
          <w:tcPr>
            <w:tcW w:type="dxa" w:w="6192"/>
            <w:shd w:fill="FFFFFF"/>
            <w:tcMar>
              <w:top w:w="80" w:type="dxa"/>
              <w:bottom w:w="80" w:type="dxa"/>
              <w:left w:w="120" w:type="dxa"/>
              <w:right w:w="120" w:type="dxa"/>
            </w:tcMar>
          </w:tcPr>
          <w:p>
            <w:pPr>
              <w:spacing w:after="0" w:before="0"/>
            </w:pPr>
            <w:r>
              <w:rPr>
                <w:color w:val="1A252F"/>
                <w:sz w:val="19"/>
              </w:rPr>
              <w:t>HIGH (Ministry of Tribal Affairs, CFR-Learning Network India)</w:t>
            </w:r>
          </w:p>
        </w:tc>
      </w:tr>
      <w:tr>
        <w:tc>
          <w:tcPr>
            <w:tcW w:type="dxa" w:w="3168"/>
            <w:shd w:fill="FDF8EE"/>
            <w:tcMar>
              <w:top w:w="80" w:type="dxa"/>
              <w:bottom w:w="80" w:type="dxa"/>
              <w:left w:w="120" w:type="dxa"/>
              <w:right w:w="120" w:type="dxa"/>
            </w:tcMar>
          </w:tcPr>
          <w:p>
            <w:pPr>
              <w:spacing w:after="0" w:before="0"/>
            </w:pPr>
            <w:r>
              <w:rPr>
                <w:b/>
                <w:color w:val="8B3A1C"/>
                <w:sz w:val="19"/>
              </w:rPr>
              <w:t>Last Verified Date</w:t>
            </w:r>
          </w:p>
        </w:tc>
        <w:tc>
          <w:tcPr>
            <w:tcW w:type="dxa" w:w="6192"/>
            <w:shd w:fill="FFFFFF"/>
            <w:tcMar>
              <w:top w:w="80" w:type="dxa"/>
              <w:bottom w:w="80" w:type="dxa"/>
              <w:left w:w="120" w:type="dxa"/>
              <w:right w:w="120" w:type="dxa"/>
            </w:tcMar>
          </w:tcPr>
          <w:p>
            <w:pPr>
              <w:spacing w:after="0" w:before="0"/>
            </w:pPr>
            <w:r>
              <w:rPr>
                <w:color w:val="1A252F"/>
                <w:sz w:val="19"/>
              </w:rPr>
              <w:t>2026-09-07</w:t>
            </w:r>
          </w:p>
        </w:tc>
      </w:tr>
    </w:tbl>
    <w:p>
      <w:pPr>
        <w:spacing w:after="240"/>
      </w:pPr>
    </w:p>
    <w:p>
      <w:pPr>
        <w:keepNext/>
        <w:spacing w:before="320" w:after="120"/>
      </w:pPr>
      <w:r>
        <w:rPr>
          <w:rFonts w:ascii="Calibri" w:hAnsi="Calibri"/>
          <w:b/>
          <w:color w:val="8B3A1C"/>
          <w:sz w:val="30"/>
        </w:rPr>
        <w:t>1. Implementation of the Forest Rights Act (2006)</w:t>
      </w:r>
    </w:p>
    <w:p>
      <w:r>
        <w:t>The Scheduled Tribes and Other Traditional Forest Dwellers (Recognition of Forest Rights) Act, 2006 (FRA) has been a pivotal instrument for historical restitution in Bastar. Thousands of tribal farmers have received Individual Forest Rights (IFR) land titles, while entire villages inside Kanger Valley National Park have successfully secured Community Forest Resource Rights (CFRR), granting them statutory management, protection, and harvesting authority over their ancestral forest homelands.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595959"/>
        <w:sz w:val="17"/>
      </w:rPr>
      <w:t>Confidential Academic &amp; Cultural Knowledge Base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Bastar Heritage Research Initiative | Multidisciplinary Digital Archive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5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