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74. Contemporary Challenges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Ecological Pressures, Cultural Transition, Agrarian Resilience &amp; Youth Futures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BST-DOC-074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Contemporary Scene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Development Studies, Sociology &amp; Ecological Economics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(NITI Aayog, Planning Department CG, State Human Development Reports)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Key Socio-Ecological Challenges</w:t>
      </w:r>
    </w:p>
    <w:p>
      <w:r>
        <w:t>Bastar faces critical structural challenges at the intersection of modernization and tradition:</w:t>
        <w:br/>
        <w:t>1. Out-Migration &amp; Agrarian Transition: Climate erraticism in rainfed areas driving seasonal youth migration to brick kilns in neighboring states.</w:t>
        <w:br/>
        <w:t>2. Commodification of Craft Heritage: Middlemen underpaying grassroots Dhokra and Iron craft artisans, threatening hereditary skill transmission.</w:t>
        <w:br/>
        <w:t>3. Dietary Shifts: Rapid displacement of nutrient-dense minor millets (Kodo/Kutki) by subsidized polished white rice, impacting tribal nutrition.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