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77. Environmental Challenges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Red-Mud Effluents, Riverine Pollution, Groundwater Siltation &amp; Forest Fragility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BST-DOC-077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Shankini, Dankini, and Indravati Catchments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Environmental Toxicology, Hydrology &amp; Pollution Control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(Central Pollution Control Board, State Pollution Control Board CG)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River Siltation and Environmental Remediation</w:t>
      </w:r>
    </w:p>
    <w:p>
      <w:r>
        <w:t>Historical mining runoff into the Shankini River created widespread red-mud turbidity (locally called 'Lal Nallah'). Modern regulatory interventions have mandated zero-liquid discharge tailing dams, bio-settling ponds, and extensive afforestation of mined overburden slopes with native pioneer trees (Bamboo, Acacia, Sal) to restore watershed hydrology.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