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8B3A1C"/>
          <w:sz w:val="44"/>
        </w:rPr>
        <w:t>78. Climate Change and Bastar</w:t>
      </w:r>
    </w:p>
    <w:p>
      <w:pPr>
        <w:spacing w:before="0" w:after="280"/>
        <w:jc w:val="left"/>
      </w:pPr>
      <w:r>
        <w:rPr>
          <w:rFonts w:ascii="Calibri" w:hAnsi="Calibri"/>
          <w:i/>
          <w:color w:val="2D5A27"/>
          <w:sz w:val="26"/>
        </w:rPr>
        <w:t>Monsoon Shifts, Phenological Disruptions, Forest Fires &amp; Indigenous Adaptation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59B27"/>
          <w:bottom w:val="single" w:sz="8" w:space="0" w:color="C59B27"/>
          <w:insideH w:val="single" w:sz="8" w:space="0" w:color="C59B27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Document ID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BST-DOC-078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Geographic Scope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Dandakaranya Agro-Climatic Zone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Primary Classification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Climate Science, Phenology &amp; Climate Adaptation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Confidence Level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HIGH (IMD Climate Reports, State Action Plan on Climate Change CG)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Last Verified Date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2026-09-07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color w:val="8B3A1C"/>
          <w:sz w:val="30"/>
        </w:rPr>
        <w:t>1. Phenological Shifts in Non-Timber Forest Species</w:t>
      </w:r>
    </w:p>
    <w:p>
      <w:r>
        <w:t>Climate data indicates rising mean temperatures and increased frequency of unseasonal winter precipitation in Bastar. This has caused noticeable phenological disruptions: premature flowering of Mahua trees, delayed Sal seed shedding, and higher vulnerability to pre-monsoon forest fires. Indigenous communities are responding through traditional community firebreaks and revival of drought-hardy millet landraces.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595959"/>
        <w:sz w:val="17"/>
      </w:rPr>
      <w:t>Confidential Academic &amp; Cultural Knowledge Base (2026)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7"/>
      </w:rPr>
      <w:t>Bastar Heritage Research Initiative | Multidisciplinary Digital Archive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5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