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79. Heritage Conservation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Archaeological Restoration, GI Protection, Community Archives &amp; Museum Policies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BST-DOC-079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Monumental &amp; Craft Zones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Heritage Management, Monument Restoration &amp; IPR Protection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(Archaeological Survey of India, Ministry of Culture)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Multi-Tiered Conservation Strategies</w:t>
      </w:r>
    </w:p>
    <w:p>
      <w:r>
        <w:t>Heritage conservation in Bastar integrates three essential tiers:</w:t>
        <w:br/>
        <w:t>1. Material Monument Conservation: Chemical treatment, stone grouting, and anastylosis at Barsur's Battisa and Mama-Bhanja temples by ASI.</w:t>
        <w:br/>
        <w:t>2. Intellectual Property Rights (GI): Enforcing Geographical Indication protection for Bastar Dhokra, Iron Craft, Wooden Craft, and Chaprah Chutney.</w:t>
        <w:br/>
        <w:t>3. Living Heritage Safeguarding: State stipends and national awards honoring master indigenous singers, dancers, and bards.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