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80. Threats to Cultural Heritage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Globalized Plastic Intrusion, Dialect Endangerment, Counterfeit Crafts &amp; Urban Alienation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BST-DOC-080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Cultural Sphere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Cultural Risk Assessment &amp; Endangerment Studies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(UNESCO Intangible Heritage Risk Criteria, Field Data)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Threat Matrix to Bastar's Tangible and Intangible Heritage</w:t>
      </w:r>
    </w:p>
    <w:p>
      <w:r>
        <w:t>The primary risks threatening Bastar's cultural integrity include:</w:t>
        <w:br/>
        <w:t>• Counterfeit Machine-Cast Crafts: Factory-cast aluminum/brass imitations sold as authentic hand-cast Bastar Dhokra.</w:t>
        <w:br/>
        <w:t>• Language Attrition: Rapid decline of fluent speakers of Parji (Dhurwa) and Dorli among younger generations.</w:t>
        <w:br/>
        <w:t>• Influx of Non-Biodegradable Plastics: Replacing traditional Bauhinia leaf cups (Dona/Pattal) and earthenware in weekly haats.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