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81. Intangible Cultural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UNESCO-Style Inventory: Living Oralities, Shamanic Rituals &amp; Sacred Crafts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BST-DOC-081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Intangible Cultural Expressions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Intangible Cultural Heritage (ICH) &amp; Inventory Methodology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(Sangeet Natak Akademi National ICH List, UNESCO Guidelines)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National ICH Inventory Elements from Bastar</w:t>
      </w:r>
    </w:p>
    <w:p>
      <w:r>
        <w:t>Four premier cultural traditions of Bastar are documented under India's National List of Intangible Cultural Heritage:</w:t>
        <w:br/>
        <w:t>1. Bastar Dussehra Chariot Festival and Ritual Continuum (Ritual Arts &amp; Festive Events).</w:t>
        <w:br/>
        <w:t>2. Traditional Cire Perdue (Lost-Wax) Metal Casting of the Ghadwas (Traditional Craftsmanship).</w:t>
        <w:br/>
        <w:t>3. The Ghotul System of Song, Dance, and Customary Socialization (Oral Traditions &amp; Social Practices).</w:t>
        <w:br/>
        <w:t>4. The Gaur Maria Bison Horn Dance (Performing Arts).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