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82. Living Heritage and Cultural Continuity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Intergenerational Knowledge Transmission, Youth Leadership &amp; Clan Resilience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BST-DOC-082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Rural and Tribal Communities of Bastar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Cultural Transmission, Generational Sociology &amp; Living Traditions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(Anthropological Survey of India, Field Ethnographies)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Living Resilience of Ancestral Customs</w:t>
      </w:r>
    </w:p>
    <w:p>
      <w:r>
        <w:t>Despite centuries of political shifts, Bastar's cultural core remains remarkably dynamic and self-renewing. The active participation of young tribal generations in constructing the Dussehra chariot, playing the Mandar drum, and tending sacred Devikots proves that Bastar culture is not a dead museum curiosity but a vibrant, evolving way of life.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