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86. Bastar Travel and Visitor Guide</w:t>
      </w:r>
    </w:p>
    <w:p>
      <w:pPr>
        <w:spacing w:before="0" w:after="280"/>
        <w:jc w:val="left"/>
      </w:pPr>
      <w:r>
        <w:rPr>
          <w:rFonts w:ascii="Calibri" w:hAnsi="Calibri"/>
          <w:i/>
          <w:color w:val="2D5A27"/>
          <w:sz w:val="26"/>
        </w:rPr>
        <w:t>Practical Guide: Seasonality, Transport, Permits, Accommodations &amp; Safety</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BST-DOC-086</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Pan-Bastar Travel Circuits</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Visitor Travelology, Field Guide &amp; Practical Logistics</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(Direct Verification with Tourism Operators &amp; Forest Dept)</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Essential Visitor Logistics and Seasonality</w:t>
      </w:r>
    </w:p>
    <w:p>
      <w:r>
        <w:t>• Best Season to Visit: October to March (pleasant weather, vibrant festivals, active weekly haats). Monsoon (July to September) offers spectacular waterfall roaring volumes at Chitrakote and Tirathgarh, though cave access is closed due to flooding.</w:t>
        <w:br/>
        <w:t>• Accommodations: Luxury state resorts (Dandami Luxury Resort Chitrakote), heritage hotels, and village homestays.</w:t>
        <w:br/>
        <w:t>• Forest Permissions: Entry permits for Kanger Valley National Park obtained at the Kotamsar barrier checkpost.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