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87. Cultural Etiquette and Responsible Tourism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Protocols: Photography Ethics, Sacred Taboos, Fair Trade &amp; Village Respect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Tribal Villages, Sacred Spaces, and Haats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Ethical Tourism, Cultural Etiquette &amp; Anthropological Protocol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(Responsible Tourism Society of India, Code of Conduct)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Code of Conduct for Responsible Visitors</w:t>
      </w:r>
    </w:p>
    <w:p>
      <w:r>
        <w:t>1. Photography Protocols: Always seek explicit verbal consent before photographing indigenous individuals, especially women and elders at haats.</w:t>
        <w:br/>
        <w:t>2. Sacred Shrines (Devigudis): Remove footwear before entering village shrine precincts; do not touch spiked swings (Jhulas) or votive objects.</w:t>
        <w:br/>
        <w:t>3. Fair Trade Support: Purchase handicrafts directly from artisan cooperatives at fair prices without aggressive devaluing bargaining.</w:t>
        <w:br/>
        <w:t>4. Environmental Responsibility: Zero single-use plastic inside national parks and forest caves.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