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89. Hidden Heritage and Undocumented Culture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Endangered Dialects, Archaic Rock Art &amp; Living Megalithic Variations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BST-DOC-089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Remote Interior Bastar &amp; Abujhmad Frontiers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Subaltern Ethnography, Uncatalogued Heritage &amp; Linguistic Gaps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(Academic Ethnographic Field Notes &amp; Linguistic Surveys)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Urgent Frontiers for Academic Documentation</w:t>
      </w:r>
    </w:p>
    <w:p>
      <w:r>
        <w:t>Critical domains requiring immediate digital humanities archiving include:</w:t>
        <w:br/>
        <w:t>• Unrecorded Parji (Dhurwa) Oral Ballads: Complex mythological cycles preserved solely in the memory of octogenarian elders.</w:t>
        <w:br/>
        <w:t>• Uncatalogued Prehistoric Rock Art: Over a dozen rock shelter sites across the Kanker-Bastar ridge bearing ochre paintings threatened by weathering.</w:t>
        <w:br/>
        <w:t>• Traditional Blacksmith Blast Furnaces: Vanishing ancestral charcoal smelting technology known to fewer than a dozen elderly Agariya masters.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