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left"/>
      </w:pPr>
      <w:r>
        <w:rPr>
          <w:rFonts w:ascii="Calibri" w:hAnsi="Calibri"/>
          <w:b/>
          <w:color w:val="8B3A1C"/>
          <w:sz w:val="44"/>
        </w:rPr>
        <w:t>90. Bastar Cultural Landscape</w:t>
      </w:r>
    </w:p>
    <w:p>
      <w:pPr>
        <w:spacing w:before="0" w:after="280"/>
        <w:jc w:val="left"/>
      </w:pPr>
      <w:r>
        <w:rPr>
          <w:rFonts w:ascii="Calibri" w:hAnsi="Calibri"/>
          <w:i/>
          <w:color w:val="2D5A27"/>
          <w:sz w:val="26"/>
        </w:rPr>
        <w:t>Biocultural Continuum: Interwoven Unity of Forest, Ancestor, Spirit &amp; Community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C59B27"/>
          <w:bottom w:val="single" w:sz="8" w:space="0" w:color="C59B27"/>
          <w:insideH w:val="single" w:sz="8" w:space="0" w:color="C59B27"/>
          <w:insideV w:val="none"/>
          <w:left w:val="none"/>
          <w:right w:val="none"/>
        </w:tblBorders>
      </w:tblPr>
      <w:tblGrid>
        <w:gridCol w:w="4680"/>
        <w:gridCol w:w="4680"/>
      </w:tblGrid>
      <w:tr>
        <w:tc>
          <w:tcPr>
            <w:tcW w:type="dxa" w:w="3168"/>
            <w:shd w:fill="FDF8EE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b/>
                <w:color w:val="8B3A1C"/>
                <w:sz w:val="19"/>
              </w:rPr>
              <w:t>Document ID</w:t>
            </w:r>
          </w:p>
        </w:tc>
        <w:tc>
          <w:tcPr>
            <w:tcW w:type="dxa" w:w="61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9"/>
              </w:rPr>
              <w:t>BST-DOC-090</w:t>
            </w:r>
          </w:p>
        </w:tc>
      </w:tr>
      <w:tr>
        <w:tc>
          <w:tcPr>
            <w:tcW w:type="dxa" w:w="3168"/>
            <w:shd w:fill="FDF8EE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b/>
                <w:color w:val="8B3A1C"/>
                <w:sz w:val="19"/>
              </w:rPr>
              <w:t>Geographic Scope</w:t>
            </w:r>
          </w:p>
        </w:tc>
        <w:tc>
          <w:tcPr>
            <w:tcW w:type="dxa" w:w="61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9"/>
              </w:rPr>
              <w:t>Dandakaranya / Bastar Biocultural Sphere</w:t>
            </w:r>
          </w:p>
        </w:tc>
      </w:tr>
      <w:tr>
        <w:tc>
          <w:tcPr>
            <w:tcW w:type="dxa" w:w="3168"/>
            <w:shd w:fill="FDF8EE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b/>
                <w:color w:val="8B3A1C"/>
                <w:sz w:val="19"/>
              </w:rPr>
              <w:t>Primary Classification</w:t>
            </w:r>
          </w:p>
        </w:tc>
        <w:tc>
          <w:tcPr>
            <w:tcW w:type="dxa" w:w="61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9"/>
              </w:rPr>
              <w:t>Cultural Landscape Studies, Human Ecology &amp; Synthesis</w:t>
            </w:r>
          </w:p>
        </w:tc>
      </w:tr>
      <w:tr>
        <w:tc>
          <w:tcPr>
            <w:tcW w:type="dxa" w:w="3168"/>
            <w:shd w:fill="FDF8EE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b/>
                <w:color w:val="8B3A1C"/>
                <w:sz w:val="19"/>
              </w:rPr>
              <w:t>Confidence Level</w:t>
            </w:r>
          </w:p>
        </w:tc>
        <w:tc>
          <w:tcPr>
            <w:tcW w:type="dxa" w:w="61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9"/>
              </w:rPr>
              <w:t>HIGH (UNESCO Cultural Landscape Criteria &amp; Biocultural Synthesis)</w:t>
            </w:r>
          </w:p>
        </w:tc>
      </w:tr>
      <w:tr>
        <w:tc>
          <w:tcPr>
            <w:tcW w:type="dxa" w:w="3168"/>
            <w:shd w:fill="FDF8EE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b/>
                <w:color w:val="8B3A1C"/>
                <w:sz w:val="19"/>
              </w:rPr>
              <w:t>Last Verified Date</w:t>
            </w:r>
          </w:p>
        </w:tc>
        <w:tc>
          <w:tcPr>
            <w:tcW w:type="dxa" w:w="61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9"/>
              </w:rPr>
              <w:t>2026-09-07</w:t>
            </w:r>
          </w:p>
        </w:tc>
      </w:tr>
    </w:tbl>
    <w:p>
      <w:pPr>
        <w:spacing w:after="240"/>
      </w:pPr>
    </w:p>
    <w:p>
      <w:pPr>
        <w:keepNext/>
        <w:spacing w:before="320" w:after="120"/>
      </w:pPr>
      <w:r>
        <w:rPr>
          <w:rFonts w:ascii="Calibri" w:hAnsi="Calibri"/>
          <w:b/>
          <w:color w:val="8B3A1C"/>
          <w:sz w:val="30"/>
        </w:rPr>
        <w:t>1. Synthesis of the Bastar Biocultural Landscape</w:t>
      </w:r>
    </w:p>
    <w:p>
      <w:r>
        <w:t>Bastar stands as a supreme global example of an unbroken 'Cultural Landscape'—an intricate, millennia-old co-evolution where human culture, animistic spirituality, material craft, and forest ecology exist in indivisible harmony. From the sacred iron tridents forged from local soil to the 75-day Dussehra chariot pulled by thousands of united forest clans, Bastar proves that indigenous culture is the greatest guardian of biodiversity and civilizational memory on earth.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both"/>
    </w:pPr>
    <w:r>
      <w:rPr>
        <w:rFonts w:ascii="Calibri" w:hAnsi="Calibri"/>
        <w:color w:val="595959"/>
        <w:sz w:val="17"/>
      </w:rPr>
      <w:t>Confidential Academic &amp; Cultural Knowledge Base (2026)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color w:val="595959"/>
        <w:sz w:val="17"/>
      </w:rPr>
      <w:t>Bastar Heritage Research Initiative | Multidisciplinary Digital Archive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A252F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