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96. Bastar Music and Dance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Organology, Choreography, Performance Contexts &amp; Acoustic Classifications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BST-DOC-096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Performing Circuits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Ethnomusicology &amp; Ethnochoreology Database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(Sangeet Natak Akademi &amp; Indira Kala Sangit Vishwavidyalaya)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Perf ID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Tradition Name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Practicing Community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Instruments Used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Choreography / Meaning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BST-PRF-001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Gaur Dance (Bison Horn)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/ Ritual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Dandami Maria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Large Maria Dhol, Tirududi iron ringing sticks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Towering bison horn headdresses, powerful stomping rhythms celebrating virility and hunt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BST-PRF-002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Gedi Dance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/ Acrobatic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 Youth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Bamboo stilts (Gedi), Mandar drums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Extraordinary balance on tall stilts during monsoon Hareli festival; agrarian joy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BST-PRF-003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Mandari Dance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/ Percussion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 (Ghotul)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Mandar terracotta/wood drums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Circular counter-rhythmic drumming and intricate foot movements led by Chelik youth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BST-PRF-004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Kaksar Dance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/ Devotional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Hill Maria (Abujhmaria)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Brass bell belts, wooden clappers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Youth courtship and deity invocation for agricultural fertility and health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BST-PRF-005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Hulki Manda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/ Folk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 &amp; Bhatra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Mohri reed shawm, Dhol, Mandar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Interlocking-arm undulating serpentine line dance performed at marriages and fairs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BST-PRF-006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Pradhan Epic Recital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Music / Oral Epic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Pradhan Bards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Bana / Kingri bowed three-string lute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Multi-day genealogical chant of Gond ancestors, Lingo Pen, and clan migrations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