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8B3A1C"/>
          <w:sz w:val="44"/>
        </w:rPr>
        <w:t>99. Bastar Knowledge Graph</w:t>
      </w:r>
    </w:p>
    <w:p>
      <w:pPr>
        <w:spacing w:before="0" w:after="280"/>
        <w:jc w:val="left"/>
      </w:pPr>
      <w:r>
        <w:rPr>
          <w:rFonts w:ascii="Calibri" w:hAnsi="Calibri"/>
          <w:i/>
          <w:color w:val="2D5A27"/>
          <w:sz w:val="26"/>
        </w:rPr>
        <w:t>Ontological Architecture, RDF Triples, Entity Graph &amp; Cypher Database Queries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59B27"/>
          <w:bottom w:val="single" w:sz="8" w:space="0" w:color="C59B27"/>
          <w:insideH w:val="single" w:sz="8" w:space="0" w:color="C59B27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Document ID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BST-DOC-099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Geographic Scope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Digital Humanities &amp; Semantic Web Architecture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Primary Classification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Knowledge Graph Ontology, Linked Open Data (LOD) &amp; Graph Queries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Confidence Level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HIGH (W3C RDF/OWL Standards &amp; Neo4j Graph Database Schema)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Last Verified Date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2026-09-07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Calibri" w:hAnsi="Calibri"/>
          <w:b/>
          <w:color w:val="8B3A1C"/>
          <w:sz w:val="30"/>
        </w:rPr>
        <w:t>1. Knowledge Graph Ontological Entity Classes</w:t>
      </w:r>
    </w:p>
    <w:p>
      <w:r>
        <w:t>The Bastar Knowledge Graph is structured across 18 core entity classes:</w:t>
        <w:br/>
        <w:t>:Place | :District | :Village | :Community | :Person | :Festival | :Deity | :Temple | :ArchaeologicalSite | :NaturalSite | :Waterfall | :Cave | :Craft | :Instrument | :Dance | :Food | :Language | :HistoricalEvent</w:t>
      </w:r>
    </w:p>
    <w:p>
      <w:pPr>
        <w:keepNext/>
        <w:spacing w:before="240" w:after="80"/>
      </w:pPr>
      <w:r>
        <w:rPr>
          <w:rFonts w:ascii="Calibri" w:hAnsi="Calibri"/>
          <w:b/>
          <w:color w:val="2D5A27"/>
          <w:sz w:val="25"/>
        </w:rPr>
        <w:t>2. Master RDF Triples (Subject - Predicate - Object)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Subject Entity (URI / Class)</w:t>
            </w:r>
          </w:p>
        </w:tc>
        <w:tc>
          <w:tcPr>
            <w:tcW w:type="dxa" w:w="3120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Predicate / Relationship</w:t>
            </w:r>
          </w:p>
        </w:tc>
        <w:tc>
          <w:tcPr>
            <w:tcW w:type="dxa" w:w="3120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Object Entity (URI / Class)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bastar:DanteshwariTemple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located_in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bastar:DantewadaDistrict</w:t>
            </w:r>
          </w:p>
        </w:tc>
      </w:tr>
      <w:tr>
        <w:tc>
          <w:tcPr>
            <w:tcW w:type="dxa" w:w="312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bastar:DanteshwariTemple</w:t>
            </w:r>
          </w:p>
        </w:tc>
        <w:tc>
          <w:tcPr>
            <w:tcW w:type="dxa" w:w="312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consecrated_by</w:t>
            </w:r>
          </w:p>
        </w:tc>
        <w:tc>
          <w:tcPr>
            <w:tcW w:type="dxa" w:w="312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bastar:Annamadeva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bastar:DanteshwariTemple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dedicated_to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bastar:GoddessDanteshwari</w:t>
            </w:r>
          </w:p>
        </w:tc>
      </w:tr>
      <w:tr>
        <w:tc>
          <w:tcPr>
            <w:tcW w:type="dxa" w:w="312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bastar:BastarDussehra</w:t>
            </w:r>
          </w:p>
        </w:tc>
        <w:tc>
          <w:tcPr>
            <w:tcW w:type="dxa" w:w="312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celebrated_in_honor_of</w:t>
            </w:r>
          </w:p>
        </w:tc>
        <w:tc>
          <w:tcPr>
            <w:tcW w:type="dxa" w:w="312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bastar:GoddessDanteshwari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bastar:BastarDussehra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has_duration_days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75</w:t>
            </w:r>
          </w:p>
        </w:tc>
      </w:tr>
      <w:tr>
        <w:tc>
          <w:tcPr>
            <w:tcW w:type="dxa" w:w="312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bastar:BastarDhokra</w:t>
            </w:r>
          </w:p>
        </w:tc>
        <w:tc>
          <w:tcPr>
            <w:tcW w:type="dxa" w:w="312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has_gi_tag_number</w:t>
            </w:r>
          </w:p>
        </w:tc>
        <w:tc>
          <w:tcPr>
            <w:tcW w:type="dxa" w:w="312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GI_83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bastar:BastarDhokra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practiced_by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bastar:GhadwaCommunity</w:t>
            </w:r>
          </w:p>
        </w:tc>
      </w:tr>
      <w:tr>
        <w:tc>
          <w:tcPr>
            <w:tcW w:type="dxa" w:w="312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bastar:BarsurBattisaTemple</w:t>
            </w:r>
          </w:p>
        </w:tc>
        <w:tc>
          <w:tcPr>
            <w:tcW w:type="dxa" w:w="312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built_during</w:t>
            </w:r>
          </w:p>
        </w:tc>
        <w:tc>
          <w:tcPr>
            <w:tcW w:type="dxa" w:w="312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bastar:ChhindakaNagaDynasty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bastar:GaurDance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performed_by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bastar:DandamiMariaCommunity</w:t>
            </w:r>
          </w:p>
        </w:tc>
      </w:tr>
      <w:tr>
        <w:tc>
          <w:tcPr>
            <w:tcW w:type="dxa" w:w="312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bastar:KutumsarCave</w:t>
            </w:r>
          </w:p>
        </w:tc>
        <w:tc>
          <w:tcPr>
            <w:tcW w:type="dxa" w:w="312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located_within</w:t>
            </w:r>
          </w:p>
        </w:tc>
        <w:tc>
          <w:tcPr>
            <w:tcW w:type="dxa" w:w="312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bastar:KangerValleyNationalPark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bastar:BastarHillMyna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has_conservation_status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StateBirdOfChhattisgarh</w:t>
            </w:r>
          </w:p>
        </w:tc>
      </w:tr>
      <w:tr>
        <w:tc>
          <w:tcPr>
            <w:tcW w:type="dxa" w:w="312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bastar:ChaprahChutney</w:t>
            </w:r>
          </w:p>
        </w:tc>
        <w:tc>
          <w:tcPr>
            <w:tcW w:type="dxa" w:w="312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prepared_from</w:t>
            </w:r>
          </w:p>
        </w:tc>
        <w:tc>
          <w:tcPr>
            <w:tcW w:type="dxa" w:w="312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bastar:OecophyllaSmaragdinaAnts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bastar:BhumkalRebellion_1910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led_by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bastar:GundadhurOfNethanar</w:t>
            </w:r>
          </w:p>
        </w:tc>
      </w:tr>
      <w:tr>
        <w:tc>
          <w:tcPr>
            <w:tcW w:type="dxa" w:w="312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bastar:GhotulInstitution</w:t>
            </w:r>
          </w:p>
        </w:tc>
        <w:tc>
          <w:tcPr>
            <w:tcW w:type="dxa" w:w="312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patron_deity</w:t>
            </w:r>
          </w:p>
        </w:tc>
        <w:tc>
          <w:tcPr>
            <w:tcW w:type="dxa" w:w="312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bastar:LingoPen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bastar:HalbiLanguage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belongs_to_family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bastar:EasternIndoAryan</w:t>
            </w:r>
          </w:p>
        </w:tc>
      </w:tr>
    </w:tbl>
    <w:p>
      <w:pPr>
        <w:spacing w:after="160"/>
      </w:pPr>
    </w:p>
    <w:p>
      <w:pPr>
        <w:keepNext/>
        <w:spacing w:before="240" w:after="80"/>
      </w:pPr>
      <w:r>
        <w:rPr>
          <w:rFonts w:ascii="Calibri" w:hAnsi="Calibri"/>
          <w:b/>
          <w:color w:val="2D5A27"/>
          <w:sz w:val="25"/>
        </w:rPr>
        <w:t>3. Cypher Graph Query Example for Interactive Retrieval</w:t>
      </w:r>
    </w:p>
    <w:p>
      <w:r>
        <w:t>MATCH (c:Community {name: 'Muria'})-[:PRACTICES]-&gt;(cr:Craft)</w:t>
        <w:br/>
        <w:t>MATCH (c)-[:RESIDES_IN]-&gt;(d:District)</w:t>
        <w:br/>
        <w:t>MATCH (f:Festival)-[:CELEBRATED_BY]-&gt;(c)</w:t>
        <w:br/>
        <w:t>RETURN c.name, cr.name, d.name, f.name;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595959"/>
        <w:sz w:val="17"/>
      </w:rPr>
      <w:t>Confidential Academic &amp; Cultural Knowledge Base (2026)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7"/>
      </w:rPr>
      <w:t>Bastar Heritage Research Initiative | Multidisciplinary Digital Archive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5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