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BASTAR RESEARCH README</w:t>
      </w:r>
    </w:p>
    <w:p>
      <w:pPr>
        <w:spacing w:before="0" w:after="280"/>
        <w:jc w:val="left"/>
      </w:pPr>
      <w:r>
        <w:rPr>
          <w:rFonts w:ascii="Calibri" w:hAnsi="Calibri"/>
          <w:i/>
          <w:color w:val="2D5A27"/>
          <w:sz w:val="26"/>
        </w:rPr>
        <w:t>Architecture, Ingestion Guidelines, Database Conversion &amp; Cultural Ethics Protocol</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BST-README-001</w:t>
            </w:r>
          </w:p>
        </w:tc>
      </w:tr>
      <w:tr>
        <w:tc>
          <w:tcPr>
            <w:tcW w:type="dxa" w:w="3168"/>
            <w:shd w:fill="FDF8EE"/>
            <w:tcMar>
              <w:top w:w="80" w:type="dxa"/>
              <w:bottom w:w="80" w:type="dxa"/>
              <w:left w:w="120" w:type="dxa"/>
              <w:right w:w="120" w:type="dxa"/>
            </w:tcMar>
          </w:tcPr>
          <w:p>
            <w:pPr>
              <w:spacing w:after="0" w:before="0"/>
            </w:pPr>
            <w:r>
              <w:rPr>
                <w:b/>
                <w:color w:val="8B3A1C"/>
                <w:sz w:val="19"/>
              </w:rPr>
              <w:t>Project Name</w:t>
            </w:r>
          </w:p>
        </w:tc>
        <w:tc>
          <w:tcPr>
            <w:tcW w:type="dxa" w:w="6192"/>
            <w:shd w:fill="FFFFFF"/>
            <w:tcMar>
              <w:top w:w="80" w:type="dxa"/>
              <w:bottom w:w="80" w:type="dxa"/>
              <w:left w:w="120" w:type="dxa"/>
              <w:right w:w="120" w:type="dxa"/>
            </w:tcMar>
          </w:tcPr>
          <w:p>
            <w:pPr>
              <w:spacing w:after="0" w:before="0"/>
            </w:pPr>
            <w:r>
              <w:rPr>
                <w:color w:val="1A252F"/>
                <w:sz w:val="19"/>
              </w:rPr>
              <w:t>Bastar Digital Heritage Knowledge Base</w:t>
            </w:r>
          </w:p>
        </w:tc>
      </w:tr>
      <w:tr>
        <w:tc>
          <w:tcPr>
            <w:tcW w:type="dxa" w:w="3168"/>
            <w:shd w:fill="FDF8EE"/>
            <w:tcMar>
              <w:top w:w="80" w:type="dxa"/>
              <w:bottom w:w="80" w:type="dxa"/>
              <w:left w:w="120" w:type="dxa"/>
              <w:right w:w="120" w:type="dxa"/>
            </w:tcMar>
          </w:tcPr>
          <w:p>
            <w:pPr>
              <w:spacing w:after="0" w:before="0"/>
            </w:pPr>
            <w:r>
              <w:rPr>
                <w:b/>
                <w:color w:val="8B3A1C"/>
                <w:sz w:val="19"/>
              </w:rPr>
              <w:t>Author / Team</w:t>
            </w:r>
          </w:p>
        </w:tc>
        <w:tc>
          <w:tcPr>
            <w:tcW w:type="dxa" w:w="6192"/>
            <w:shd w:fill="FFFFFF"/>
            <w:tcMar>
              <w:top w:w="80" w:type="dxa"/>
              <w:bottom w:w="80" w:type="dxa"/>
              <w:left w:w="120" w:type="dxa"/>
              <w:right w:w="120" w:type="dxa"/>
            </w:tcMar>
          </w:tcPr>
          <w:p>
            <w:pPr>
              <w:spacing w:after="0" w:before="0"/>
            </w:pPr>
            <w:r>
              <w:rPr>
                <w:color w:val="1A252F"/>
                <w:sz w:val="19"/>
              </w:rPr>
              <w:t>Autonomous Multidisciplinary Cultural Heritage Research Initiative</w:t>
            </w:r>
          </w:p>
        </w:tc>
      </w:tr>
      <w:tr>
        <w:tc>
          <w:tcPr>
            <w:tcW w:type="dxa" w:w="3168"/>
            <w:shd w:fill="FDF8EE"/>
            <w:tcMar>
              <w:top w:w="80" w:type="dxa"/>
              <w:bottom w:w="80" w:type="dxa"/>
              <w:left w:w="120" w:type="dxa"/>
              <w:right w:w="120" w:type="dxa"/>
            </w:tcMar>
          </w:tcPr>
          <w:p>
            <w:pPr>
              <w:spacing w:after="0" w:before="0"/>
            </w:pPr>
            <w:r>
              <w:rPr>
                <w:b/>
                <w:color w:val="8B3A1C"/>
                <w:sz w:val="19"/>
              </w:rPr>
              <w:t>Classification Status</w:t>
            </w:r>
          </w:p>
        </w:tc>
        <w:tc>
          <w:tcPr>
            <w:tcW w:type="dxa" w:w="6192"/>
            <w:shd w:fill="FFFFFF"/>
            <w:tcMar>
              <w:top w:w="80" w:type="dxa"/>
              <w:bottom w:w="80" w:type="dxa"/>
              <w:left w:w="120" w:type="dxa"/>
              <w:right w:w="120" w:type="dxa"/>
            </w:tcMar>
          </w:tcPr>
          <w:p>
            <w:pPr>
              <w:spacing w:after="0" w:before="0"/>
            </w:pPr>
            <w:r>
              <w:rPr>
                <w:color w:val="1A252F"/>
                <w:sz w:val="19"/>
              </w:rPr>
              <w:t>Universal Reference &amp; System Implementation Guide</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Executive System Purpose</w:t>
      </w:r>
    </w:p>
    <w:p>
      <w:r>
        <w:t>This repository contains the complete, authoritative, multidisciplinary research compendium on Bastar, Chhattisgarh, India. It is designed to serve as the foundational data source for interactive digital platforms, mobile cultural apps, educational exhibits, and conversational AI agents.</w:t>
      </w:r>
    </w:p>
    <w:p>
      <w:pPr>
        <w:keepNext/>
        <w:spacing w:before="240" w:after="80"/>
      </w:pPr>
      <w:r>
        <w:rPr>
          <w:rFonts w:ascii="Calibri" w:hAnsi="Calibri"/>
          <w:b/>
          <w:color w:val="2D5A27"/>
          <w:sz w:val="25"/>
        </w:rPr>
        <w:t>2. Fact Verification and Evidentiary Tiering System</w:t>
      </w:r>
    </w:p>
    <w:p>
      <w:r>
        <w:t>Every claim in this library is categorized under one of the following epistemological tags:</w:t>
        <w:br/>
        <w:t>• HISTORICAL FACT: Backed by stone inscriptions, copper plates, or state administrative records.</w:t>
        <w:br/>
        <w:t>• ARCHAEOLOGICAL EVIDENCE: Backed by excavated structures, carbon-dated strata, or ceramic typologies.</w:t>
        <w:br/>
        <w:t>• ANTHROPOLOGICAL INTERPRETATION: Documented by peer-reviewed ethnographic fieldwork (Elwin, Grigson).</w:t>
        <w:br/>
        <w:t>• RELIGIOUS TRADITION / SACRED BELIEF: Lived spiritual belief of the indigenous community.</w:t>
        <w:br/>
        <w:t>• LOCAL FOLKLORE / ORAL MEMORY: Unwritten myth cycles transmitted through oral bards.</w:t>
      </w:r>
    </w:p>
    <w:p>
      <w:pPr>
        <w:keepNext/>
        <w:spacing w:before="240" w:after="80"/>
      </w:pPr>
      <w:r>
        <w:rPr>
          <w:rFonts w:ascii="Calibri" w:hAnsi="Calibri"/>
          <w:b/>
          <w:color w:val="2D5A27"/>
          <w:sz w:val="25"/>
        </w:rPr>
        <w:t>3. Database and AI Ingestion Instructions</w:t>
      </w:r>
    </w:p>
    <w:p>
      <w:r>
        <w:t>1. Relational Database Ingestion: Documents 91 through 98 contain normalized tabular structures ready for direct SQL schema creation.</w:t>
        <w:br/>
        <w:t>2. Knowledge Graph Ingestion: Document 99 provides RDF triples (Subject-Predicate-Object) and Cypher graph schemas for Neo4j.</w:t>
        <w:br/>
        <w:t>3. AI Chatbot / RAG Training: Document 100 contains 200+ semantically tagged Q&amp;A pairs for vector embedding and retrieval.</w:t>
        <w:br/>
        <w:t>4. Gamification &amp; Quiz Engines: Documents 101 and 102 supply verified assessment items and quest mechanics.</w:t>
      </w:r>
    </w:p>
    <w:p>
      <w:pPr>
        <w:keepNext/>
        <w:spacing w:before="240" w:after="80"/>
      </w:pPr>
      <w:r>
        <w:rPr>
          <w:rFonts w:ascii="Calibri" w:hAnsi="Calibri"/>
          <w:b/>
          <w:color w:val="2D5A27"/>
          <w:sz w:val="25"/>
        </w:rPr>
        <w:t>4. Cultural Sensitivity and Ethical Guidelines</w:t>
      </w:r>
    </w:p>
    <w:p>
      <w:r>
        <w:t>Users and developers utilizing this knowledge base must strictly uphold ethical standards:</w:t>
        <w:br/>
        <w:t>• Zero Exoticization: Avoid romanticizing tribal poverty or treating indigenous societies as primitive relics.</w:t>
        <w:br/>
        <w:t>• Sacred Boundary Inviolability: Do not commodify secret religious rituals or sacred healing formulas.</w:t>
        <w:br/>
        <w:t>• Attribution &amp; Benefit Sharing: Ensure craft documentation credits grassroots artisan cooperatives and communities directly.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