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E3A8A"/>
          <w:sz w:val="18"/>
        </w:rPr>
        <w:t>DHOLAVIRA GUJARAT CULTURAL HERITAGE &amp; INDUS VALLEY KNOWLEDGE BASE</w:t>
      </w:r>
    </w:p>
    <w:p>
      <w:pPr>
        <w:spacing w:after="280"/>
      </w:pPr>
      <w:r>
        <w:rPr>
          <w:rFonts w:ascii="Arial" w:hAnsi="Arial"/>
          <w:b/>
          <w:color w:val="B91C1C"/>
          <w:sz w:val="42"/>
        </w:rPr>
        <w:t>02. Geography and Environmental Context</w:t>
      </w:r>
    </w:p>
    <w:p>
      <w:pPr>
        <w:spacing w:before="280" w:after="120"/>
      </w:pPr>
      <w:r>
        <w:rPr>
          <w:rFonts w:ascii="Arial" w:hAnsi="Arial"/>
          <w:b/>
          <w:color w:val="B91C1C"/>
          <w:sz w:val="30"/>
        </w:rPr>
        <w:t>1. Geographical Setting of Khadir Bet &amp; Rann of Kutch</w:t>
      </w:r>
    </w:p>
    <w:p>
      <w:pPr>
        <w:spacing w:after="120" w:line="276" w:lineRule="auto"/>
      </w:pPr>
      <w:r>
        <w:rPr>
          <w:i w:val="0"/>
        </w:rPr>
        <w:t>Dholavira is situated on Khadir Bet, an isolated island hill (bet) located within the vast saline mudflats of the Great Rann of Kutch in Gujarat. During the Bronze Age (c. 2500 BCE), higher sea levels and different river flow regimes meant the Rann of Kutch functioned as a navigable gulf or sea inlet, providing Dholavira with direct maritime trade access to the Arabian Sea [Source: DHO-S001, DHO-S007].</w:t>
      </w:r>
    </w:p>
    <w:p>
      <w:pPr>
        <w:pStyle w:val="ListBullet"/>
        <w:spacing w:after="80" w:line="276" w:lineRule="auto"/>
      </w:pPr>
      <w:r>
        <w:rPr>
          <w:b/>
          <w:color w:val="1E3A8A"/>
        </w:rPr>
        <w:t xml:space="preserve">Administrative Boundaries: </w:t>
      </w:r>
      <w:r>
        <w:t>Bhachau / Rapar Tehsil, Kutch District, Gujarat State, Western India.</w:t>
      </w:r>
    </w:p>
    <w:p>
      <w:pPr>
        <w:pStyle w:val="ListBullet"/>
        <w:spacing w:after="80" w:line="276" w:lineRule="auto"/>
      </w:pPr>
      <w:r>
        <w:rPr>
          <w:b/>
          <w:color w:val="1E3A8A"/>
        </w:rPr>
        <w:t xml:space="preserve">Climate Type: </w:t>
      </w:r>
      <w:r>
        <w:t>Hot arid to semi-arid desert climate with erratic monsoon rainfall (~300 mm annually).</w:t>
      </w:r>
    </w:p>
    <w:p>
      <w:pPr>
        <w:pStyle w:val="ListBullet"/>
        <w:spacing w:after="80" w:line="276" w:lineRule="auto"/>
      </w:pPr>
      <w:r>
        <w:rPr>
          <w:b/>
          <w:color w:val="1E3A8A"/>
        </w:rPr>
        <w:t xml:space="preserve">Hydrological Flanks: </w:t>
      </w:r>
      <w:r>
        <w:t>Flanked by two seasonal storm-water channels—the Manhar Stream to the south and the Mansar Stream to the north.</w:t>
      </w:r>
    </w:p>
    <w:p>
      <w:pPr>
        <w:pStyle w:val="ListBullet"/>
        <w:spacing w:after="80" w:line="276" w:lineRule="auto"/>
      </w:pPr>
      <w:r>
        <w:rPr>
          <w:b/>
          <w:color w:val="1E3A8A"/>
        </w:rPr>
        <w:t xml:space="preserve">Geological Resources: </w:t>
      </w:r>
      <w:r>
        <w:t>Rich deposits of calcareous sandstone, pink sandstone, limestone, chert, and gypsum used extensively in city building.</w:t>
      </w:r>
    </w:p>
    <w:p>
      <w:pPr>
        <w:spacing w:before="280" w:after="120"/>
      </w:pPr>
      <w:r>
        <w:rPr>
          <w:rFonts w:ascii="Arial" w:hAnsi="Arial"/>
          <w:b/>
          <w:color w:val="B91C1C"/>
          <w:sz w:val="30"/>
        </w:rPr>
        <w:t>2. Environmental Influence on Harappan Settlement</w:t>
      </w:r>
    </w:p>
    <w:tbl>
      <w:tblPr>
        <w:tblW w:type="auto" w:w="0"/>
        <w:jc w:val="center"/>
        <w:tblLook w:firstColumn="1" w:firstRow="1" w:lastColumn="0" w:lastRow="0" w:noHBand="0" w:noVBand="1" w:val="04A0"/>
      </w:tblPr>
      <w:tblGrid>
        <w:gridCol w:w="3120"/>
        <w:gridCol w:w="3120"/>
        <w:gridCol w:w="3120"/>
      </w:tblGrid>
      <w:tr>
        <w:tc>
          <w:tcPr>
            <w:tcW w:type="dxa" w:w="2592"/>
            <w:shd w:fill="1E3A8A"/>
          </w:tcPr>
          <w:p>
            <w:pPr>
              <w:spacing w:after="40"/>
              <w:jc w:val="left"/>
            </w:pPr>
            <w:r>
              <w:rPr>
                <w:rFonts w:ascii="Arial" w:hAnsi="Arial"/>
                <w:b/>
                <w:color w:val="FFFFFF"/>
                <w:sz w:val="19"/>
              </w:rPr>
              <w:t>Geographical Feature</w:t>
            </w:r>
          </w:p>
        </w:tc>
        <w:tc>
          <w:tcPr>
            <w:tcW w:type="dxa" w:w="3600"/>
            <w:shd w:fill="1E3A8A"/>
          </w:tcPr>
          <w:p>
            <w:pPr>
              <w:spacing w:after="40"/>
              <w:jc w:val="left"/>
            </w:pPr>
            <w:r>
              <w:rPr>
                <w:rFonts w:ascii="Arial" w:hAnsi="Arial"/>
                <w:b/>
                <w:color w:val="FFFFFF"/>
                <w:sz w:val="19"/>
              </w:rPr>
              <w:t>Physical Characteristic</w:t>
            </w:r>
          </w:p>
        </w:tc>
        <w:tc>
          <w:tcPr>
            <w:tcW w:type="dxa" w:w="4176"/>
            <w:shd w:fill="1E3A8A"/>
          </w:tcPr>
          <w:p>
            <w:pPr>
              <w:spacing w:after="40"/>
              <w:jc w:val="left"/>
            </w:pPr>
            <w:r>
              <w:rPr>
                <w:rFonts w:ascii="Arial" w:hAnsi="Arial"/>
                <w:b/>
                <w:color w:val="FFFFFF"/>
                <w:sz w:val="19"/>
              </w:rPr>
              <w:t>Harappan Settlement &amp; Engineering Adaptation</w:t>
            </w:r>
          </w:p>
        </w:tc>
      </w:tr>
      <w:tr>
        <w:tc>
          <w:tcPr>
            <w:tcW w:type="dxa" w:w="2592"/>
            <w:shd w:fill="FFFFFF"/>
          </w:tcPr>
          <w:p>
            <w:pPr>
              <w:spacing w:after="40"/>
            </w:pPr>
            <w:r>
              <w:rPr>
                <w:sz w:val="18"/>
              </w:rPr>
              <w:t>Khadir Bet Island</w:t>
            </w:r>
          </w:p>
        </w:tc>
        <w:tc>
          <w:tcPr>
            <w:tcW w:type="dxa" w:w="3600"/>
            <w:shd w:fill="FFFFFF"/>
          </w:tcPr>
          <w:p>
            <w:pPr>
              <w:spacing w:after="40"/>
            </w:pPr>
            <w:r>
              <w:rPr>
                <w:sz w:val="18"/>
              </w:rPr>
              <w:t>Elevated plateau rising above saline mudflats.</w:t>
            </w:r>
          </w:p>
        </w:tc>
        <w:tc>
          <w:tcPr>
            <w:tcW w:type="dxa" w:w="4176"/>
            <w:shd w:fill="FFFFFF"/>
          </w:tcPr>
          <w:p>
            <w:pPr>
              <w:spacing w:after="40"/>
            </w:pPr>
            <w:r>
              <w:rPr>
                <w:sz w:val="18"/>
              </w:rPr>
              <w:t>Provided natural protection against Rann tidal surges &amp; military defense.</w:t>
            </w:r>
          </w:p>
        </w:tc>
      </w:tr>
      <w:tr>
        <w:tc>
          <w:tcPr>
            <w:tcW w:type="dxa" w:w="2592"/>
            <w:shd w:fill="F1F5F9"/>
          </w:tcPr>
          <w:p>
            <w:pPr>
              <w:spacing w:after="40"/>
            </w:pPr>
            <w:r>
              <w:rPr>
                <w:sz w:val="18"/>
              </w:rPr>
              <w:t>Seasonal Monsoon Streams</w:t>
            </w:r>
          </w:p>
        </w:tc>
        <w:tc>
          <w:tcPr>
            <w:tcW w:type="dxa" w:w="3600"/>
            <w:shd w:fill="F1F5F9"/>
          </w:tcPr>
          <w:p>
            <w:pPr>
              <w:spacing w:after="40"/>
            </w:pPr>
            <w:r>
              <w:rPr>
                <w:sz w:val="18"/>
              </w:rPr>
              <w:t>Manhar &amp; Mansar streams carrying sudden flash floods.</w:t>
            </w:r>
          </w:p>
        </w:tc>
        <w:tc>
          <w:tcPr>
            <w:tcW w:type="dxa" w:w="4176"/>
            <w:shd w:fill="F1F5F9"/>
          </w:tcPr>
          <w:p>
            <w:pPr>
              <w:spacing w:after="40"/>
            </w:pPr>
            <w:r>
              <w:rPr>
                <w:sz w:val="18"/>
              </w:rPr>
              <w:t>Harappans built stone dams across streams to feed 16 city reservoirs [DHO-S001].</w:t>
            </w:r>
          </w:p>
        </w:tc>
      </w:tr>
      <w:tr>
        <w:tc>
          <w:tcPr>
            <w:tcW w:type="dxa" w:w="2592"/>
            <w:shd w:fill="FFFFFF"/>
          </w:tcPr>
          <w:p>
            <w:pPr>
              <w:spacing w:after="40"/>
            </w:pPr>
            <w:r>
              <w:rPr>
                <w:sz w:val="18"/>
              </w:rPr>
              <w:t>Local Sandstone Quarries</w:t>
            </w:r>
          </w:p>
        </w:tc>
        <w:tc>
          <w:tcPr>
            <w:tcW w:type="dxa" w:w="3600"/>
            <w:shd w:fill="FFFFFF"/>
          </w:tcPr>
          <w:p>
            <w:pPr>
              <w:spacing w:after="40"/>
            </w:pPr>
            <w:r>
              <w:rPr>
                <w:sz w:val="18"/>
              </w:rPr>
              <w:t>Abundant fossiliferous limestone &amp; sandstone beds.</w:t>
            </w:r>
          </w:p>
        </w:tc>
        <w:tc>
          <w:tcPr>
            <w:tcW w:type="dxa" w:w="4176"/>
            <w:shd w:fill="FFFFFF"/>
          </w:tcPr>
          <w:p>
            <w:pPr>
              <w:spacing w:after="40"/>
            </w:pPr>
            <w:r>
              <w:rPr>
                <w:sz w:val="18"/>
              </w:rPr>
              <w:t>Allowed Dholavira to develop stone masonry instead of relying solely on baked brick.</w:t>
            </w:r>
          </w:p>
        </w:tc>
      </w:tr>
      <w:tr>
        <w:tc>
          <w:tcPr>
            <w:tcW w:type="dxa" w:w="2592"/>
            <w:shd w:fill="F1F5F9"/>
          </w:tcPr>
          <w:p>
            <w:pPr>
              <w:spacing w:after="40"/>
            </w:pPr>
            <w:r>
              <w:rPr>
                <w:sz w:val="18"/>
              </w:rPr>
              <w:t>Maritime Sea Gulf</w:t>
            </w:r>
          </w:p>
        </w:tc>
        <w:tc>
          <w:tcPr>
            <w:tcW w:type="dxa" w:w="3600"/>
            <w:shd w:fill="F1F5F9"/>
          </w:tcPr>
          <w:p>
            <w:pPr>
              <w:spacing w:after="40"/>
            </w:pPr>
            <w:r>
              <w:rPr>
                <w:sz w:val="18"/>
              </w:rPr>
              <w:t>Navigable coastal inlet connecting to Arabian Sea.</w:t>
            </w:r>
          </w:p>
        </w:tc>
        <w:tc>
          <w:tcPr>
            <w:tcW w:type="dxa" w:w="4176"/>
            <w:shd w:fill="F1F5F9"/>
          </w:tcPr>
          <w:p>
            <w:pPr>
              <w:spacing w:after="40"/>
            </w:pPr>
            <w:r>
              <w:rPr>
                <w:sz w:val="18"/>
              </w:rPr>
              <w:t>Facilitated direct maritime export of carnelian beads &amp; shell goods to Oman/Mesopotamia.</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Georgia" w:hAnsi="Georgia"/>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