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DHOLAVIRA GUJARAT CULTURAL HERITAGE &amp; INDUS VALLEY KNOWLEDGE BASE</w:t>
      </w:r>
    </w:p>
    <w:p>
      <w:pPr>
        <w:spacing w:after="280"/>
      </w:pPr>
      <w:r>
        <w:rPr>
          <w:rFonts w:ascii="Arial" w:hAnsi="Arial"/>
          <w:b/>
          <w:color w:val="B91C1C"/>
          <w:sz w:val="42"/>
        </w:rPr>
        <w:t>04. Occupational Stages &amp; Cultural Timeline</w:t>
      </w:r>
    </w:p>
    <w:p>
      <w:pPr>
        <w:spacing w:before="280" w:after="120"/>
      </w:pPr>
      <w:r>
        <w:rPr>
          <w:rFonts w:ascii="Arial" w:hAnsi="Arial"/>
          <w:b/>
          <w:color w:val="B91C1C"/>
          <w:sz w:val="30"/>
        </w:rPr>
        <w:t>1. Dr. R.S. Bisht's Seven Cultural Stages of Dholavira</w:t>
      </w:r>
    </w:p>
    <w:p>
      <w:pPr>
        <w:spacing w:after="120" w:line="276" w:lineRule="auto"/>
      </w:pPr>
      <w:r>
        <w:rPr>
          <w:i w:val="0"/>
        </w:rPr>
        <w:t>Excavations led by Dr. R.S. Bisht revealed a continuous 1,200-year cultural sequence divided into seven distinct stages, detailing the city's rise, maturation, transformation, and ultimate abandonment [Source: DHO-S001, DHO-S004]: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Stage</w:t>
            </w:r>
          </w:p>
        </w:tc>
        <w:tc>
          <w:tcPr>
            <w:tcW w:type="dxa" w:w="216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Approximate Dates</w:t>
            </w:r>
          </w:p>
        </w:tc>
        <w:tc>
          <w:tcPr>
            <w:tcW w:type="dxa" w:w="259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Cultural Phase</w:t>
            </w:r>
          </w:p>
        </w:tc>
        <w:tc>
          <w:tcPr>
            <w:tcW w:type="dxa" w:w="460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Archaeological Highlights &amp; Architectural Developments</w:t>
            </w:r>
          </w:p>
        </w:tc>
      </w:tr>
      <w:tr>
        <w:tc>
          <w:tcPr>
            <w:tcW w:type="dxa" w:w="1440"/>
            <w:shd w:fill="FFFFFF"/>
          </w:tcPr>
          <w:p>
            <w:pPr>
              <w:spacing w:after="40"/>
            </w:pPr>
            <w:r>
              <w:rPr>
                <w:sz w:val="18"/>
              </w:rPr>
              <w:t>Stage I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c. 2650–2550 BCE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Early Harappan Transition A</w:t>
            </w:r>
          </w:p>
        </w:tc>
        <w:tc>
          <w:tcPr>
            <w:tcW w:type="dxa" w:w="4608"/>
            <w:shd w:fill="FFFFFF"/>
          </w:tcPr>
          <w:p>
            <w:pPr>
              <w:spacing w:after="40"/>
            </w:pPr>
            <w:r>
              <w:rPr>
                <w:sz w:val="18"/>
              </w:rPr>
              <w:t>First fortification of Citadel; mud-brick houses; wheel-made pottery.</w:t>
            </w:r>
          </w:p>
        </w:tc>
      </w:tr>
      <w:tr>
        <w:tc>
          <w:tcPr>
            <w:tcW w:type="dxa" w:w="1440"/>
            <w:shd w:fill="F1F5F9"/>
          </w:tcPr>
          <w:p>
            <w:pPr>
              <w:spacing w:after="40"/>
            </w:pPr>
            <w:r>
              <w:rPr>
                <w:sz w:val="18"/>
              </w:rPr>
              <w:t>Stage II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c. 2550–2500 BCE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Early Harappan Transition B</w:t>
            </w:r>
          </w:p>
        </w:tc>
        <w:tc>
          <w:tcPr>
            <w:tcW w:type="dxa" w:w="4608"/>
            <w:shd w:fill="F1F5F9"/>
          </w:tcPr>
          <w:p>
            <w:pPr>
              <w:spacing w:after="40"/>
            </w:pPr>
            <w:r>
              <w:rPr>
                <w:sz w:val="18"/>
              </w:rPr>
              <w:t>Thickening of city walls; addition of stone masonry veneer; city expansion.</w:t>
            </w:r>
          </w:p>
        </w:tc>
      </w:tr>
      <w:tr>
        <w:tc>
          <w:tcPr>
            <w:tcW w:type="dxa" w:w="1440"/>
            <w:shd w:fill="FFFFFF"/>
          </w:tcPr>
          <w:p>
            <w:pPr>
              <w:spacing w:after="40"/>
            </w:pPr>
            <w:r>
              <w:rPr>
                <w:sz w:val="18"/>
              </w:rPr>
              <w:t>Stage III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c. 2500–2200 BCE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Mature Harappan A (Peak)</w:t>
            </w:r>
          </w:p>
        </w:tc>
        <w:tc>
          <w:tcPr>
            <w:tcW w:type="dxa" w:w="4608"/>
            <w:shd w:fill="FFFFFF"/>
          </w:tcPr>
          <w:p>
            <w:pPr>
              <w:spacing w:after="40"/>
            </w:pPr>
            <w:r>
              <w:rPr>
                <w:sz w:val="18"/>
              </w:rPr>
              <w:t>Creation of Tripartite layout (Citadel, Middle, Lower Town), Stadium, &amp; Reservoirs.</w:t>
            </w:r>
          </w:p>
        </w:tc>
      </w:tr>
      <w:tr>
        <w:tc>
          <w:tcPr>
            <w:tcW w:type="dxa" w:w="1440"/>
            <w:shd w:fill="F1F5F9"/>
          </w:tcPr>
          <w:p>
            <w:pPr>
              <w:spacing w:after="40"/>
            </w:pPr>
            <w:r>
              <w:rPr>
                <w:sz w:val="18"/>
              </w:rPr>
              <w:t>Stage IV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c. 2200–2000 BCE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Mature Harappan B</w:t>
            </w:r>
          </w:p>
        </w:tc>
        <w:tc>
          <w:tcPr>
            <w:tcW w:type="dxa" w:w="4608"/>
            <w:shd w:fill="F1F5F9"/>
          </w:tcPr>
          <w:p>
            <w:pPr>
              <w:spacing w:after="40"/>
            </w:pPr>
            <w:r>
              <w:rPr>
                <w:sz w:val="18"/>
              </w:rPr>
              <w:t>Maintenance of city infrastructure; erection of 10-sign Signboard at Citadel North Gate.</w:t>
            </w:r>
          </w:p>
        </w:tc>
      </w:tr>
      <w:tr>
        <w:tc>
          <w:tcPr>
            <w:tcW w:type="dxa" w:w="1440"/>
            <w:shd w:fill="FFFFFF"/>
          </w:tcPr>
          <w:p>
            <w:pPr>
              <w:spacing w:after="40"/>
            </w:pPr>
            <w:r>
              <w:rPr>
                <w:sz w:val="18"/>
              </w:rPr>
              <w:t>Stage V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c. 2000–1900 BCE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Mature Harappan C (Decline)</w:t>
            </w:r>
          </w:p>
        </w:tc>
        <w:tc>
          <w:tcPr>
            <w:tcW w:type="dxa" w:w="4608"/>
            <w:shd w:fill="FFFFFF"/>
          </w:tcPr>
          <w:p>
            <w:pPr>
              <w:spacing w:after="40"/>
            </w:pPr>
            <w:r>
              <w:rPr>
                <w:sz w:val="18"/>
              </w:rPr>
              <w:t>Beginning of civic decay; poorer maintenance of drains; eventual desertion.</w:t>
            </w:r>
          </w:p>
        </w:tc>
      </w:tr>
      <w:tr>
        <w:tc>
          <w:tcPr>
            <w:tcW w:type="dxa" w:w="1440"/>
            <w:shd w:fill="F1F5F9"/>
          </w:tcPr>
          <w:p>
            <w:pPr>
              <w:spacing w:after="40"/>
            </w:pPr>
            <w:r>
              <w:rPr>
                <w:sz w:val="18"/>
              </w:rPr>
              <w:t>Stage VI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c. 1850–1750 BCE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Post-Urban Harappan A</w:t>
            </w:r>
          </w:p>
        </w:tc>
        <w:tc>
          <w:tcPr>
            <w:tcW w:type="dxa" w:w="4608"/>
            <w:shd w:fill="F1F5F9"/>
          </w:tcPr>
          <w:p>
            <w:pPr>
              <w:spacing w:after="40"/>
            </w:pPr>
            <w:r>
              <w:rPr>
                <w:sz w:val="18"/>
              </w:rPr>
              <w:t>Re-occupation after desertion; smaller circular houses (Bungas); Jhukar-like ceramics.</w:t>
            </w:r>
          </w:p>
        </w:tc>
      </w:tr>
      <w:tr>
        <w:tc>
          <w:tcPr>
            <w:tcW w:type="dxa" w:w="1440"/>
            <w:shd w:fill="FFFFFF"/>
          </w:tcPr>
          <w:p>
            <w:pPr>
              <w:spacing w:after="40"/>
            </w:pPr>
            <w:r>
              <w:rPr>
                <w:sz w:val="18"/>
              </w:rPr>
              <w:t>Stage VII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c. 1650–1450 BCE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Post-Urban Harappan B</w:t>
            </w:r>
          </w:p>
        </w:tc>
        <w:tc>
          <w:tcPr>
            <w:tcW w:type="dxa" w:w="4608"/>
            <w:shd w:fill="FFFFFF"/>
          </w:tcPr>
          <w:p>
            <w:pPr>
              <w:spacing w:after="40"/>
            </w:pPr>
            <w:r>
              <w:rPr>
                <w:sz w:val="18"/>
              </w:rPr>
              <w:t>Final squatter occupation; total absence of town planning; eventual permanent abandonment.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