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10. Dholavira Architecture &amp; Masonry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Stone Masonry &amp; Architectural Innovation</w:t>
      </w:r>
    </w:p>
    <w:p>
      <w:pPr>
        <w:spacing w:after="120" w:line="276" w:lineRule="auto"/>
      </w:pPr>
      <w:r>
        <w:rPr>
          <w:i w:val="0"/>
        </w:rPr>
        <w:t>Unlike brick-dominated Harappan sites (Mohenjo-daro/Harappa), Dholavira relied on fine stone masonry using locally quarried limestone and sandstone [Source: DHO-S001]: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Dressed Stone Masonry: </w:t>
      </w:r>
      <w:r>
        <w:t>Hammer-dressed &amp; fine-chiselled sandstone blocks joined with mud mortar and lime plaster.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Polished Stone Pillars: </w:t>
      </w:r>
      <w:r>
        <w:t>Limestone pillar drums lathe-turned and polished to marble-like smoothness, used in Citadel gateways.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Harappan Ratio Bricks: </w:t>
      </w:r>
      <w:r>
        <w:t>Standardized brick dimensions following the 4:2:1 ratio (Length:Width:Height) across all construction phases.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