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16. Craft Production: Beads, Shell &amp; Copper</w:t>
      </w:r>
    </w:p>
    <w:p>
      <w:pPr>
        <w:spacing w:before="280" w:after="120"/>
      </w:pPr>
      <w:r>
        <w:rPr>
          <w:rFonts w:ascii="Arial" w:hAnsi="Arial"/>
          <w:b/>
          <w:color w:val="B91C1C"/>
          <w:sz w:val="30"/>
        </w:rPr>
        <w:t>1. Dholavira as a Harappan Craft Metropolis</w:t>
      </w:r>
    </w:p>
    <w:p>
      <w:pPr>
        <w:spacing w:after="120" w:line="276" w:lineRule="auto"/>
      </w:pPr>
      <w:r>
        <w:rPr>
          <w:i w:val="0"/>
        </w:rPr>
        <w:t>Dholavira's Lower Town workshops produced high-value goods for inter-regional exchange with the Gulf, Oman, and Mesopotamian civilizations. Three industries dominated: carnelian bead making, shell bangle manufacture, and copper metallurgy [Source: DHO-S001, DHO-S005].</w:t>
      </w:r>
    </w:p>
    <w:p>
      <w:pPr>
        <w:pStyle w:val="ListBullet"/>
        <w:spacing w:after="80" w:line="276" w:lineRule="auto"/>
      </w:pPr>
      <w:r>
        <w:rPr>
          <w:b/>
          <w:color w:val="1E3A8A"/>
        </w:rPr>
        <w:t xml:space="preserve">Carnelian Bead Industry: </w:t>
      </w:r>
      <w:r>
        <w:t>Barrel-shaped long carnelian beads — drilled using bronze points and polished in sand — are Dholavira's most diagnostic export. Found at Mesopotamian Royal tombs (Ur III period, c. 2100 BCE).</w:t>
      </w:r>
    </w:p>
    <w:p>
      <w:pPr>
        <w:pStyle w:val="ListBullet"/>
        <w:spacing w:after="80" w:line="276" w:lineRule="auto"/>
      </w:pPr>
      <w:r>
        <w:rPr>
          <w:b/>
          <w:color w:val="1E3A8A"/>
        </w:rPr>
        <w:t xml:space="preserve">Shell Bangle Manufacturing: </w:t>
      </w:r>
      <w:r>
        <w:t>Turbinella pyrum (conch shell) and Chicoreus ramosus shells imported from Gujarat's coastal sources and processed in Lower Town workshops into bangles, inlays, and ladles.</w:t>
      </w:r>
    </w:p>
    <w:p>
      <w:pPr>
        <w:pStyle w:val="ListBullet"/>
        <w:spacing w:after="80" w:line="276" w:lineRule="auto"/>
      </w:pPr>
      <w:r>
        <w:rPr>
          <w:b/>
          <w:color w:val="1E3A8A"/>
        </w:rPr>
        <w:t xml:space="preserve">Copper Metallurgy: </w:t>
      </w:r>
      <w:r>
        <w:t>Copper axes, chisels, fish hooks, and needles produced from copper ore likely sourced from Khetri mines (Rajasthan) and Arabian Peninsula. Evidence of copper smelting hearths found in Lower Town.</w:t>
      </w:r>
    </w:p>
    <w:p>
      <w:pPr>
        <w:spacing w:before="200" w:after="80"/>
      </w:pPr>
      <w:r>
        <w:rPr>
          <w:rFonts w:ascii="Arial" w:hAnsi="Arial"/>
          <w:b/>
          <w:color w:val="1E3A8A"/>
          <w:sz w:val="26"/>
        </w:rPr>
        <w:t>2. Bead Technology Summary Table</w:t>
      </w:r>
    </w:p>
    <w:tbl>
      <w:tblPr>
        <w:tblW w:type="auto" w:w="0"/>
        <w:jc w:val="center"/>
        <w:tblLook w:firstColumn="1" w:firstRow="1" w:lastColumn="0" w:lastRow="0" w:noHBand="0" w:noVBand="1" w:val="04A0"/>
      </w:tblPr>
      <w:tblGrid>
        <w:gridCol w:w="2340"/>
        <w:gridCol w:w="2340"/>
        <w:gridCol w:w="2340"/>
        <w:gridCol w:w="2340"/>
      </w:tblGrid>
      <w:tr>
        <w:tc>
          <w:tcPr>
            <w:tcW w:type="dxa" w:w="2592"/>
            <w:shd w:fill="1E3A8A"/>
          </w:tcPr>
          <w:p>
            <w:pPr>
              <w:spacing w:after="40"/>
              <w:jc w:val="left"/>
            </w:pPr>
            <w:r>
              <w:rPr>
                <w:rFonts w:ascii="Arial" w:hAnsi="Arial"/>
                <w:b/>
                <w:color w:val="FFFFFF"/>
                <w:sz w:val="19"/>
              </w:rPr>
              <w:t>Bead Type</w:t>
            </w:r>
          </w:p>
        </w:tc>
        <w:tc>
          <w:tcPr>
            <w:tcW w:type="dxa" w:w="2880"/>
            <w:shd w:fill="1E3A8A"/>
          </w:tcPr>
          <w:p>
            <w:pPr>
              <w:spacing w:after="40"/>
              <w:jc w:val="left"/>
            </w:pPr>
            <w:r>
              <w:rPr>
                <w:rFonts w:ascii="Arial" w:hAnsi="Arial"/>
                <w:b/>
                <w:color w:val="FFFFFF"/>
                <w:sz w:val="19"/>
              </w:rPr>
              <w:t>Raw Material</w:t>
            </w:r>
          </w:p>
        </w:tc>
        <w:tc>
          <w:tcPr>
            <w:tcW w:type="dxa" w:w="3168"/>
            <w:shd w:fill="1E3A8A"/>
          </w:tcPr>
          <w:p>
            <w:pPr>
              <w:spacing w:after="40"/>
              <w:jc w:val="left"/>
            </w:pPr>
            <w:r>
              <w:rPr>
                <w:rFonts w:ascii="Arial" w:hAnsi="Arial"/>
                <w:b/>
                <w:color w:val="FFFFFF"/>
                <w:sz w:val="19"/>
              </w:rPr>
              <w:t>Manufacturing Technique</w:t>
            </w:r>
          </w:p>
        </w:tc>
        <w:tc>
          <w:tcPr>
            <w:tcW w:type="dxa" w:w="3168"/>
            <w:shd w:fill="1E3A8A"/>
          </w:tcPr>
          <w:p>
            <w:pPr>
              <w:spacing w:after="40"/>
              <w:jc w:val="left"/>
            </w:pPr>
            <w:r>
              <w:rPr>
                <w:rFonts w:ascii="Arial" w:hAnsi="Arial"/>
                <w:b/>
                <w:color w:val="FFFFFF"/>
                <w:sz w:val="19"/>
              </w:rPr>
              <w:t>Export Destination</w:t>
            </w:r>
          </w:p>
        </w:tc>
      </w:tr>
      <w:tr>
        <w:tc>
          <w:tcPr>
            <w:tcW w:type="dxa" w:w="2592"/>
            <w:shd w:fill="FFFFFF"/>
          </w:tcPr>
          <w:p>
            <w:pPr>
              <w:spacing w:after="40"/>
            </w:pPr>
            <w:r>
              <w:rPr>
                <w:sz w:val="18"/>
              </w:rPr>
              <w:t>Long Barrel Carnelian</w:t>
            </w:r>
          </w:p>
        </w:tc>
        <w:tc>
          <w:tcPr>
            <w:tcW w:type="dxa" w:w="2880"/>
            <w:shd w:fill="FFFFFF"/>
          </w:tcPr>
          <w:p>
            <w:pPr>
              <w:spacing w:after="40"/>
            </w:pPr>
            <w:r>
              <w:rPr>
                <w:sz w:val="18"/>
              </w:rPr>
              <w:t>Carnelian from Saurashtra / Rajasthan quarries.</w:t>
            </w:r>
          </w:p>
        </w:tc>
        <w:tc>
          <w:tcPr>
            <w:tcW w:type="dxa" w:w="3168"/>
            <w:shd w:fill="FFFFFF"/>
          </w:tcPr>
          <w:p>
            <w:pPr>
              <w:spacing w:after="40"/>
            </w:pPr>
            <w:r>
              <w:rPr>
                <w:sz w:val="18"/>
              </w:rPr>
              <w:t>Bronze-tipped drill, sand polishing, heat treatment.</w:t>
            </w:r>
          </w:p>
        </w:tc>
        <w:tc>
          <w:tcPr>
            <w:tcW w:type="dxa" w:w="3168"/>
            <w:shd w:fill="FFFFFF"/>
          </w:tcPr>
          <w:p>
            <w:pPr>
              <w:spacing w:after="40"/>
            </w:pPr>
            <w:r>
              <w:rPr>
                <w:sz w:val="18"/>
              </w:rPr>
              <w:t>Mesopotamia (Ur), Oman, Bahrain [DHO-S005].</w:t>
            </w:r>
          </w:p>
        </w:tc>
      </w:tr>
      <w:tr>
        <w:tc>
          <w:tcPr>
            <w:tcW w:type="dxa" w:w="2592"/>
            <w:shd w:fill="F1F5F9"/>
          </w:tcPr>
          <w:p>
            <w:pPr>
              <w:spacing w:after="40"/>
            </w:pPr>
            <w:r>
              <w:rPr>
                <w:sz w:val="18"/>
              </w:rPr>
              <w:t>Etched Carnelian</w:t>
            </w:r>
          </w:p>
        </w:tc>
        <w:tc>
          <w:tcPr>
            <w:tcW w:type="dxa" w:w="2880"/>
            <w:shd w:fill="F1F5F9"/>
          </w:tcPr>
          <w:p>
            <w:pPr>
              <w:spacing w:after="40"/>
            </w:pPr>
            <w:r>
              <w:rPr>
                <w:sz w:val="18"/>
              </w:rPr>
              <w:t>Treated carnelian with alkali paste patterning.</w:t>
            </w:r>
          </w:p>
        </w:tc>
        <w:tc>
          <w:tcPr>
            <w:tcW w:type="dxa" w:w="3168"/>
            <w:shd w:fill="F1F5F9"/>
          </w:tcPr>
          <w:p>
            <w:pPr>
              <w:spacing w:after="40"/>
            </w:pPr>
            <w:r>
              <w:rPr>
                <w:sz w:val="18"/>
              </w:rPr>
              <w:t>Acid/alkali etching to create white geometric patterns.</w:t>
            </w:r>
          </w:p>
        </w:tc>
        <w:tc>
          <w:tcPr>
            <w:tcW w:type="dxa" w:w="3168"/>
            <w:shd w:fill="F1F5F9"/>
          </w:tcPr>
          <w:p>
            <w:pPr>
              <w:spacing w:after="40"/>
            </w:pPr>
            <w:r>
              <w:rPr>
                <w:sz w:val="18"/>
              </w:rPr>
              <w:t>Persian Gulf trade ports, Meluhhan commerce.</w:t>
            </w:r>
          </w:p>
        </w:tc>
      </w:tr>
      <w:tr>
        <w:tc>
          <w:tcPr>
            <w:tcW w:type="dxa" w:w="2592"/>
            <w:shd w:fill="FFFFFF"/>
          </w:tcPr>
          <w:p>
            <w:pPr>
              <w:spacing w:after="40"/>
            </w:pPr>
            <w:r>
              <w:rPr>
                <w:sz w:val="18"/>
              </w:rPr>
              <w:t>Faience &amp; Steatite</w:t>
            </w:r>
          </w:p>
        </w:tc>
        <w:tc>
          <w:tcPr>
            <w:tcW w:type="dxa" w:w="2880"/>
            <w:shd w:fill="FFFFFF"/>
          </w:tcPr>
          <w:p>
            <w:pPr>
              <w:spacing w:after="40"/>
            </w:pPr>
            <w:r>
              <w:rPr>
                <w:sz w:val="18"/>
              </w:rPr>
              <w:t>Powdered quartz or steatite fired with glaze.</w:t>
            </w:r>
          </w:p>
        </w:tc>
        <w:tc>
          <w:tcPr>
            <w:tcW w:type="dxa" w:w="3168"/>
            <w:shd w:fill="FFFFFF"/>
          </w:tcPr>
          <w:p>
            <w:pPr>
              <w:spacing w:after="40"/>
            </w:pPr>
            <w:r>
              <w:rPr>
                <w:sz w:val="18"/>
              </w:rPr>
              <w:t>Paste molding, kiln firing at high temperatures.</w:t>
            </w:r>
          </w:p>
        </w:tc>
        <w:tc>
          <w:tcPr>
            <w:tcW w:type="dxa" w:w="3168"/>
            <w:shd w:fill="FFFFFF"/>
          </w:tcPr>
          <w:p>
            <w:pPr>
              <w:spacing w:after="40"/>
            </w:pPr>
            <w:r>
              <w:rPr>
                <w:sz w:val="18"/>
              </w:rPr>
              <w:t>Local elite use and regional inter-Harappan exchange.</w:t>
            </w:r>
          </w:p>
        </w:tc>
      </w:tr>
      <w:tr>
        <w:tc>
          <w:tcPr>
            <w:tcW w:type="dxa" w:w="2592"/>
            <w:shd w:fill="F1F5F9"/>
          </w:tcPr>
          <w:p>
            <w:pPr>
              <w:spacing w:after="40"/>
            </w:pPr>
            <w:r>
              <w:rPr>
                <w:sz w:val="18"/>
              </w:rPr>
              <w:t>Shell Disk Beads</w:t>
            </w:r>
          </w:p>
        </w:tc>
        <w:tc>
          <w:tcPr>
            <w:tcW w:type="dxa" w:w="2880"/>
            <w:shd w:fill="F1F5F9"/>
          </w:tcPr>
          <w:p>
            <w:pPr>
              <w:spacing w:after="40"/>
            </w:pPr>
            <w:r>
              <w:rPr>
                <w:sz w:val="18"/>
              </w:rPr>
              <w:t>Turbinella pyrum shell rings.</w:t>
            </w:r>
          </w:p>
        </w:tc>
        <w:tc>
          <w:tcPr>
            <w:tcW w:type="dxa" w:w="3168"/>
            <w:shd w:fill="F1F5F9"/>
          </w:tcPr>
          <w:p>
            <w:pPr>
              <w:spacing w:after="40"/>
            </w:pPr>
            <w:r>
              <w:rPr>
                <w:sz w:val="18"/>
              </w:rPr>
              <w:t>Sawn into disks, pierced, strung into necklaces.</w:t>
            </w:r>
          </w:p>
        </w:tc>
        <w:tc>
          <w:tcPr>
            <w:tcW w:type="dxa" w:w="3168"/>
            <w:shd w:fill="F1F5F9"/>
          </w:tcPr>
          <w:p>
            <w:pPr>
              <w:spacing w:after="40"/>
            </w:pPr>
            <w:r>
              <w:rPr>
                <w:sz w:val="18"/>
              </w:rPr>
              <w:t>Local wear and burial accompaniments.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[CRAFT INDUSTRY — ARCHAEOLOGICAL EVIDENCE]</w:t>
              <w:br/>
            </w:r>
            <w:r>
              <w:rPr>
                <w:sz w:val="19"/>
              </w:rPr>
              <w:t>Bead industry evidence is based on recovered workshop debris (manufacturing waste, unfinished beads, polishing stones, copper drills) from Lower Town excavations by ASI (Bisht, 1990–2005). Export links confirmed by Mesopotamian parallels.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