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17. Seals, Weights &amp; Trade Evidence</w:t>
      </w:r>
    </w:p>
    <w:p>
      <w:pPr>
        <w:spacing w:before="280" w:after="120"/>
      </w:pPr>
      <w:r>
        <w:rPr>
          <w:rFonts w:ascii="Arial" w:hAnsi="Arial"/>
          <w:b/>
          <w:color w:val="B91C1C"/>
          <w:sz w:val="30"/>
        </w:rPr>
        <w:t>1. Harappan Commercial Standardization at Dholavira</w:t>
      </w:r>
    </w:p>
    <w:p>
      <w:pPr>
        <w:spacing w:after="120" w:line="276" w:lineRule="auto"/>
      </w:pPr>
      <w:r>
        <w:rPr>
          <w:i w:val="0"/>
        </w:rPr>
        <w:t>The Harappan Civilization was distinguished by its use of standardized weights and seals for regulated commercial exchange across thousands of kilometers. Dholavira's excavated seal and weight assemblage confirms its role as a major trade node [Source: DHO-S001, DHO-S005].</w:t>
      </w:r>
    </w:p>
    <w:p>
      <w:pPr>
        <w:spacing w:before="200" w:after="80"/>
      </w:pPr>
      <w:r>
        <w:rPr>
          <w:rFonts w:ascii="Arial" w:hAnsi="Arial"/>
          <w:b/>
          <w:color w:val="1E3A8A"/>
          <w:sz w:val="26"/>
        </w:rPr>
        <w:t>2. Steatite Seals — Typology &amp; Function</w:t>
      </w:r>
    </w:p>
    <w:p>
      <w:pPr>
        <w:pStyle w:val="ListBullet"/>
        <w:spacing w:after="80" w:line="276" w:lineRule="auto"/>
      </w:pPr>
      <w:r>
        <w:rPr>
          <w:b/>
          <w:color w:val="1E3A8A"/>
        </w:rPr>
        <w:t xml:space="preserve">Seal Morphology: </w:t>
      </w:r>
      <w:r>
        <w:t>Square stamp seals (2 × 2 cm average). Usually carved with one of the following motifs: Unicorn (most common), Short-horned Bull, Elephant, Rhinoceros, Tiger, or Composite Animals.</w:t>
      </w:r>
    </w:p>
    <w:p>
      <w:pPr>
        <w:pStyle w:val="ListBullet"/>
        <w:spacing w:after="80" w:line="276" w:lineRule="auto"/>
      </w:pPr>
      <w:r>
        <w:rPr>
          <w:b/>
          <w:color w:val="1E3A8A"/>
        </w:rPr>
        <w:t xml:space="preserve">Seal Function: </w:t>
      </w:r>
      <w:r>
        <w:t>Each seal carries 1–5 Indus script signs above the animal motif. On the reverse: a boss (knob) to hold thread, acting as a personal signature device.</w:t>
      </w:r>
    </w:p>
    <w:p>
      <w:pPr>
        <w:spacing w:before="200" w:after="80"/>
      </w:pPr>
      <w:r>
        <w:rPr>
          <w:rFonts w:ascii="Arial" w:hAnsi="Arial"/>
          <w:b/>
          <w:color w:val="1E3A8A"/>
          <w:sz w:val="26"/>
        </w:rPr>
        <w:t>3. Weight System</w:t>
      </w:r>
    </w:p>
    <w:tbl>
      <w:tblPr>
        <w:tblW w:type="auto" w:w="0"/>
        <w:jc w:val="center"/>
        <w:tblLook w:firstColumn="1" w:firstRow="1" w:lastColumn="0" w:lastRow="0" w:noHBand="0" w:noVBand="1" w:val="04A0"/>
      </w:tblPr>
      <w:tblGrid>
        <w:gridCol w:w="2340"/>
        <w:gridCol w:w="2340"/>
        <w:gridCol w:w="2340"/>
        <w:gridCol w:w="2340"/>
      </w:tblGrid>
      <w:tr>
        <w:tc>
          <w:tcPr>
            <w:tcW w:type="dxa" w:w="2592"/>
            <w:shd w:fill="1E3A8A"/>
          </w:tcPr>
          <w:p>
            <w:pPr>
              <w:spacing w:after="40"/>
              <w:jc w:val="left"/>
            </w:pPr>
            <w:r>
              <w:rPr>
                <w:rFonts w:ascii="Arial" w:hAnsi="Arial"/>
                <w:b/>
                <w:color w:val="FFFFFF"/>
                <w:sz w:val="19"/>
              </w:rPr>
              <w:t>Weight Series</w:t>
            </w:r>
          </w:p>
        </w:tc>
        <w:tc>
          <w:tcPr>
            <w:tcW w:type="dxa" w:w="2880"/>
            <w:shd w:fill="1E3A8A"/>
          </w:tcPr>
          <w:p>
            <w:pPr>
              <w:spacing w:after="40"/>
              <w:jc w:val="left"/>
            </w:pPr>
            <w:r>
              <w:rPr>
                <w:rFonts w:ascii="Arial" w:hAnsi="Arial"/>
                <w:b/>
                <w:color w:val="FFFFFF"/>
                <w:sz w:val="19"/>
              </w:rPr>
              <w:t>Ratio</w:t>
            </w:r>
          </w:p>
        </w:tc>
        <w:tc>
          <w:tcPr>
            <w:tcW w:type="dxa" w:w="2880"/>
            <w:shd w:fill="1E3A8A"/>
          </w:tcPr>
          <w:p>
            <w:pPr>
              <w:spacing w:after="40"/>
              <w:jc w:val="left"/>
            </w:pPr>
            <w:r>
              <w:rPr>
                <w:rFonts w:ascii="Arial" w:hAnsi="Arial"/>
                <w:b/>
                <w:color w:val="FFFFFF"/>
                <w:sz w:val="19"/>
              </w:rPr>
              <w:t>Materials Used</w:t>
            </w:r>
          </w:p>
        </w:tc>
        <w:tc>
          <w:tcPr>
            <w:tcW w:type="dxa" w:w="3456"/>
            <w:shd w:fill="1E3A8A"/>
          </w:tcPr>
          <w:p>
            <w:pPr>
              <w:spacing w:after="40"/>
              <w:jc w:val="left"/>
            </w:pPr>
            <w:r>
              <w:rPr>
                <w:rFonts w:ascii="Arial" w:hAnsi="Arial"/>
                <w:b/>
                <w:color w:val="FFFFFF"/>
                <w:sz w:val="19"/>
              </w:rPr>
              <w:t>Significance</w:t>
            </w:r>
          </w:p>
        </w:tc>
      </w:tr>
      <w:tr>
        <w:tc>
          <w:tcPr>
            <w:tcW w:type="dxa" w:w="2592"/>
            <w:shd w:fill="FFFFFF"/>
          </w:tcPr>
          <w:p>
            <w:pPr>
              <w:spacing w:after="40"/>
            </w:pPr>
            <w:r>
              <w:rPr>
                <w:sz w:val="18"/>
              </w:rPr>
              <w:t>Binary-Decimal System</w:t>
            </w:r>
          </w:p>
        </w:tc>
        <w:tc>
          <w:tcPr>
            <w:tcW w:type="dxa" w:w="2880"/>
            <w:shd w:fill="FFFFFF"/>
          </w:tcPr>
          <w:p>
            <w:pPr>
              <w:spacing w:after="40"/>
            </w:pPr>
            <w:r>
              <w:rPr>
                <w:sz w:val="18"/>
              </w:rPr>
              <w:t>1:2:4:8:16:32:64 ratio.</w:t>
            </w:r>
          </w:p>
        </w:tc>
        <w:tc>
          <w:tcPr>
            <w:tcW w:type="dxa" w:w="2880"/>
            <w:shd w:fill="FFFFFF"/>
          </w:tcPr>
          <w:p>
            <w:pPr>
              <w:spacing w:after="40"/>
            </w:pPr>
            <w:r>
              <w:rPr>
                <w:sz w:val="18"/>
              </w:rPr>
              <w:t>Polished chert cubical weights.</w:t>
            </w:r>
          </w:p>
        </w:tc>
        <w:tc>
          <w:tcPr>
            <w:tcW w:type="dxa" w:w="3456"/>
            <w:shd w:fill="FFFFFF"/>
          </w:tcPr>
          <w:p>
            <w:pPr>
              <w:spacing w:after="40"/>
            </w:pPr>
            <w:r>
              <w:rPr>
                <w:sz w:val="18"/>
              </w:rPr>
              <w:t>Globally unique; unmatched precision across Harappan cities [DHO-S001].</w:t>
            </w:r>
          </w:p>
        </w:tc>
      </w:tr>
      <w:tr>
        <w:tc>
          <w:tcPr>
            <w:tcW w:type="dxa" w:w="2592"/>
            <w:shd w:fill="F1F5F9"/>
          </w:tcPr>
          <w:p>
            <w:pPr>
              <w:spacing w:after="40"/>
            </w:pPr>
            <w:r>
              <w:rPr>
                <w:sz w:val="18"/>
              </w:rPr>
              <w:t>Cube Weights</w:t>
            </w:r>
          </w:p>
        </w:tc>
        <w:tc>
          <w:tcPr>
            <w:tcW w:type="dxa" w:w="2880"/>
            <w:shd w:fill="F1F5F9"/>
          </w:tcPr>
          <w:p>
            <w:pPr>
              <w:spacing w:after="40"/>
            </w:pPr>
            <w:r>
              <w:rPr>
                <w:sz w:val="18"/>
              </w:rPr>
              <w:t>Uniform across all Harappan sites.</w:t>
            </w:r>
          </w:p>
        </w:tc>
        <w:tc>
          <w:tcPr>
            <w:tcW w:type="dxa" w:w="2880"/>
            <w:shd w:fill="F1F5F9"/>
          </w:tcPr>
          <w:p>
            <w:pPr>
              <w:spacing w:after="40"/>
            </w:pPr>
            <w:r>
              <w:rPr>
                <w:sz w:val="18"/>
              </w:rPr>
              <w:t>White chert, limestone, alabaster.</w:t>
            </w:r>
          </w:p>
        </w:tc>
        <w:tc>
          <w:tcPr>
            <w:tcW w:type="dxa" w:w="3456"/>
            <w:shd w:fill="F1F5F9"/>
          </w:tcPr>
          <w:p>
            <w:pPr>
              <w:spacing w:after="40"/>
            </w:pPr>
            <w:r>
              <w:rPr>
                <w:sz w:val="18"/>
              </w:rPr>
              <w:t>Proof of centralized weight standardization policy.</w:t>
            </w:r>
          </w:p>
        </w:tc>
      </w:tr>
      <w:tr>
        <w:tc>
          <w:tcPr>
            <w:tcW w:type="dxa" w:w="2592"/>
            <w:shd w:fill="FFFFFF"/>
          </w:tcPr>
          <w:p>
            <w:pPr>
              <w:spacing w:after="40"/>
            </w:pPr>
            <w:r>
              <w:rPr>
                <w:sz w:val="18"/>
              </w:rPr>
              <w:t>Spherical Weights</w:t>
            </w:r>
          </w:p>
        </w:tc>
        <w:tc>
          <w:tcPr>
            <w:tcW w:type="dxa" w:w="2880"/>
            <w:shd w:fill="FFFFFF"/>
          </w:tcPr>
          <w:p>
            <w:pPr>
              <w:spacing w:after="40"/>
            </w:pPr>
            <w:r>
              <w:rPr>
                <w:sz w:val="18"/>
              </w:rPr>
              <w:t>Heavier commercial loads.</w:t>
            </w:r>
          </w:p>
        </w:tc>
        <w:tc>
          <w:tcPr>
            <w:tcW w:type="dxa" w:w="2880"/>
            <w:shd w:fill="FFFFFF"/>
          </w:tcPr>
          <w:p>
            <w:pPr>
              <w:spacing w:after="40"/>
            </w:pPr>
            <w:r>
              <w:rPr>
                <w:sz w:val="18"/>
              </w:rPr>
              <w:t>Limestone, sandstone.</w:t>
            </w:r>
          </w:p>
        </w:tc>
        <w:tc>
          <w:tcPr>
            <w:tcW w:type="dxa" w:w="3456"/>
            <w:shd w:fill="FFFFFF"/>
          </w:tcPr>
          <w:p>
            <w:pPr>
              <w:spacing w:after="40"/>
            </w:pPr>
            <w:r>
              <w:rPr>
                <w:sz w:val="18"/>
              </w:rPr>
              <w:t>Used for bulk grain measurement in marketplace.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