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DHOLAVIRA GUJARAT CULTURAL HERITAGE &amp; INDUS VALLEY KNOWLEDGE BASE</w:t>
      </w:r>
    </w:p>
    <w:p>
      <w:pPr>
        <w:spacing w:after="280"/>
      </w:pPr>
      <w:r>
        <w:rPr>
          <w:rFonts w:ascii="Arial" w:hAnsi="Arial"/>
          <w:b/>
          <w:color w:val="B91C1C"/>
          <w:sz w:val="42"/>
        </w:rPr>
        <w:t>20. Pottery &amp; Ceramic Record</w:t>
      </w:r>
    </w:p>
    <w:p>
      <w:pPr>
        <w:spacing w:before="280" w:after="120"/>
      </w:pPr>
      <w:r>
        <w:rPr>
          <w:rFonts w:ascii="Arial" w:hAnsi="Arial"/>
          <w:b/>
          <w:color w:val="B91C1C"/>
          <w:sz w:val="30"/>
        </w:rPr>
        <w:t>1. Harappan Ceramic Tradition at Dholavira</w:t>
      </w:r>
    </w:p>
    <w:p>
      <w:pPr>
        <w:spacing w:after="120" w:line="276" w:lineRule="auto"/>
      </w:pPr>
      <w:r>
        <w:rPr>
          <w:i w:val="0"/>
        </w:rPr>
        <w:t>The ceramic assemblage from Dholavira documents all seven cultural stages and provides the primary chronological framework for dating occupation levels. Dholavira pottery follows Harappan standardized forms while showing regional Kutchi characteristics [Source: DHO-S001, DHO-S004].</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8A"/>
          </w:tcPr>
          <w:p>
            <w:pPr>
              <w:spacing w:after="40"/>
              <w:jc w:val="left"/>
            </w:pPr>
            <w:r>
              <w:rPr>
                <w:rFonts w:ascii="Arial" w:hAnsi="Arial"/>
                <w:b/>
                <w:color w:val="FFFFFF"/>
                <w:sz w:val="19"/>
              </w:rPr>
              <w:t>Stage</w:t>
            </w:r>
          </w:p>
        </w:tc>
        <w:tc>
          <w:tcPr>
            <w:tcW w:type="dxa" w:w="2880"/>
            <w:shd w:fill="1E3A8A"/>
          </w:tcPr>
          <w:p>
            <w:pPr>
              <w:spacing w:after="40"/>
              <w:jc w:val="left"/>
            </w:pPr>
            <w:r>
              <w:rPr>
                <w:rFonts w:ascii="Arial" w:hAnsi="Arial"/>
                <w:b/>
                <w:color w:val="FFFFFF"/>
                <w:sz w:val="19"/>
              </w:rPr>
              <w:t>Ceramic Type</w:t>
            </w:r>
          </w:p>
        </w:tc>
        <w:tc>
          <w:tcPr>
            <w:tcW w:type="dxa" w:w="3312"/>
            <w:shd w:fill="1E3A8A"/>
          </w:tcPr>
          <w:p>
            <w:pPr>
              <w:spacing w:after="40"/>
              <w:jc w:val="left"/>
            </w:pPr>
            <w:r>
              <w:rPr>
                <w:rFonts w:ascii="Arial" w:hAnsi="Arial"/>
                <w:b/>
                <w:color w:val="FFFFFF"/>
                <w:sz w:val="19"/>
              </w:rPr>
              <w:t>Decorative Motifs</w:t>
            </w:r>
          </w:p>
        </w:tc>
        <w:tc>
          <w:tcPr>
            <w:tcW w:type="dxa" w:w="3888"/>
            <w:shd w:fill="1E3A8A"/>
          </w:tcPr>
          <w:p>
            <w:pPr>
              <w:spacing w:after="40"/>
              <w:jc w:val="left"/>
            </w:pPr>
            <w:r>
              <w:rPr>
                <w:rFonts w:ascii="Arial" w:hAnsi="Arial"/>
                <w:b/>
                <w:color w:val="FFFFFF"/>
                <w:sz w:val="19"/>
              </w:rPr>
              <w:t>Chronological Significance</w:t>
            </w:r>
          </w:p>
        </w:tc>
      </w:tr>
      <w:tr>
        <w:tc>
          <w:tcPr>
            <w:tcW w:type="dxa" w:w="1728"/>
            <w:shd w:fill="FFFFFF"/>
          </w:tcPr>
          <w:p>
            <w:pPr>
              <w:spacing w:after="40"/>
            </w:pPr>
            <w:r>
              <w:rPr>
                <w:sz w:val="18"/>
              </w:rPr>
              <w:t>Stages I–II</w:t>
            </w:r>
          </w:p>
        </w:tc>
        <w:tc>
          <w:tcPr>
            <w:tcW w:type="dxa" w:w="2880"/>
            <w:shd w:fill="FFFFFF"/>
          </w:tcPr>
          <w:p>
            <w:pPr>
              <w:spacing w:after="40"/>
            </w:pPr>
            <w:r>
              <w:rPr>
                <w:sz w:val="18"/>
              </w:rPr>
              <w:t>Transitional Harappan — thick-walled reddish ware.</w:t>
            </w:r>
          </w:p>
        </w:tc>
        <w:tc>
          <w:tcPr>
            <w:tcW w:type="dxa" w:w="3312"/>
            <w:shd w:fill="FFFFFF"/>
          </w:tcPr>
          <w:p>
            <w:pPr>
              <w:spacing w:after="40"/>
            </w:pPr>
            <w:r>
              <w:rPr>
                <w:sz w:val="18"/>
              </w:rPr>
              <w:t>Incised geometric patterns; minimal painted decoration.</w:t>
            </w:r>
          </w:p>
        </w:tc>
        <w:tc>
          <w:tcPr>
            <w:tcW w:type="dxa" w:w="3888"/>
            <w:shd w:fill="FFFFFF"/>
          </w:tcPr>
          <w:p>
            <w:pPr>
              <w:spacing w:after="40"/>
            </w:pPr>
            <w:r>
              <w:rPr>
                <w:sz w:val="18"/>
              </w:rPr>
              <w:t>Diagnostic of Early Harappan phase in Gujarat.</w:t>
            </w:r>
          </w:p>
        </w:tc>
      </w:tr>
      <w:tr>
        <w:tc>
          <w:tcPr>
            <w:tcW w:type="dxa" w:w="1728"/>
            <w:shd w:fill="F1F5F9"/>
          </w:tcPr>
          <w:p>
            <w:pPr>
              <w:spacing w:after="40"/>
            </w:pPr>
            <w:r>
              <w:rPr>
                <w:sz w:val="18"/>
              </w:rPr>
              <w:t>Stages III–IV</w:t>
            </w:r>
          </w:p>
        </w:tc>
        <w:tc>
          <w:tcPr>
            <w:tcW w:type="dxa" w:w="2880"/>
            <w:shd w:fill="F1F5F9"/>
          </w:tcPr>
          <w:p>
            <w:pPr>
              <w:spacing w:after="40"/>
            </w:pPr>
            <w:r>
              <w:rPr>
                <w:sz w:val="18"/>
              </w:rPr>
              <w:t>Mature Harappan — thin-walled red slipped ware.</w:t>
            </w:r>
          </w:p>
        </w:tc>
        <w:tc>
          <w:tcPr>
            <w:tcW w:type="dxa" w:w="3312"/>
            <w:shd w:fill="F1F5F9"/>
          </w:tcPr>
          <w:p>
            <w:pPr>
              <w:spacing w:after="40"/>
            </w:pPr>
            <w:r>
              <w:rPr>
                <w:sz w:val="18"/>
              </w:rPr>
              <w:t>Black-painted fish scales, peacocks, pipal leaves, intersecting circles.</w:t>
            </w:r>
          </w:p>
        </w:tc>
        <w:tc>
          <w:tcPr>
            <w:tcW w:type="dxa" w:w="3888"/>
            <w:shd w:fill="F1F5F9"/>
          </w:tcPr>
          <w:p>
            <w:pPr>
              <w:spacing w:after="40"/>
            </w:pPr>
            <w:r>
              <w:rPr>
                <w:sz w:val="18"/>
              </w:rPr>
              <w:t>Classic Mature Harappan ceramic canon — c. 2500–2000 BCE.</w:t>
            </w:r>
          </w:p>
        </w:tc>
      </w:tr>
      <w:tr>
        <w:tc>
          <w:tcPr>
            <w:tcW w:type="dxa" w:w="1728"/>
            <w:shd w:fill="FFFFFF"/>
          </w:tcPr>
          <w:p>
            <w:pPr>
              <w:spacing w:after="40"/>
            </w:pPr>
            <w:r>
              <w:rPr>
                <w:sz w:val="18"/>
              </w:rPr>
              <w:t>Stage V</w:t>
            </w:r>
          </w:p>
        </w:tc>
        <w:tc>
          <w:tcPr>
            <w:tcW w:type="dxa" w:w="2880"/>
            <w:shd w:fill="FFFFFF"/>
          </w:tcPr>
          <w:p>
            <w:pPr>
              <w:spacing w:after="40"/>
            </w:pPr>
            <w:r>
              <w:rPr>
                <w:sz w:val="18"/>
              </w:rPr>
              <w:t>Late Harappan — coarser texture, less painting.</w:t>
            </w:r>
          </w:p>
        </w:tc>
        <w:tc>
          <w:tcPr>
            <w:tcW w:type="dxa" w:w="3312"/>
            <w:shd w:fill="FFFFFF"/>
          </w:tcPr>
          <w:p>
            <w:pPr>
              <w:spacing w:after="40"/>
            </w:pPr>
            <w:r>
              <w:rPr>
                <w:sz w:val="18"/>
              </w:rPr>
              <w:t>Degenerating geometric motifs; reduced artistic quality.</w:t>
            </w:r>
          </w:p>
        </w:tc>
        <w:tc>
          <w:tcPr>
            <w:tcW w:type="dxa" w:w="3888"/>
            <w:shd w:fill="FFFFFF"/>
          </w:tcPr>
          <w:p>
            <w:pPr>
              <w:spacing w:after="40"/>
            </w:pPr>
            <w:r>
              <w:rPr>
                <w:sz w:val="18"/>
              </w:rPr>
              <w:t>Marks urban decline phase.</w:t>
            </w:r>
          </w:p>
        </w:tc>
      </w:tr>
      <w:tr>
        <w:tc>
          <w:tcPr>
            <w:tcW w:type="dxa" w:w="1728"/>
            <w:shd w:fill="F1F5F9"/>
          </w:tcPr>
          <w:p>
            <w:pPr>
              <w:spacing w:after="40"/>
            </w:pPr>
            <w:r>
              <w:rPr>
                <w:sz w:val="18"/>
              </w:rPr>
              <w:t>Stages VI–VII</w:t>
            </w:r>
          </w:p>
        </w:tc>
        <w:tc>
          <w:tcPr>
            <w:tcW w:type="dxa" w:w="2880"/>
            <w:shd w:fill="F1F5F9"/>
          </w:tcPr>
          <w:p>
            <w:pPr>
              <w:spacing w:after="40"/>
            </w:pPr>
            <w:r>
              <w:rPr>
                <w:sz w:val="18"/>
              </w:rPr>
              <w:t>Post-Urban — coarse handmade ware.</w:t>
            </w:r>
          </w:p>
        </w:tc>
        <w:tc>
          <w:tcPr>
            <w:tcW w:type="dxa" w:w="3312"/>
            <w:shd w:fill="F1F5F9"/>
          </w:tcPr>
          <w:p>
            <w:pPr>
              <w:spacing w:after="40"/>
            </w:pPr>
            <w:r>
              <w:rPr>
                <w:sz w:val="18"/>
              </w:rPr>
              <w:t>Minimal decoration; Jhukar/Cemetery H-type forms.</w:t>
            </w:r>
          </w:p>
        </w:tc>
        <w:tc>
          <w:tcPr>
            <w:tcW w:type="dxa" w:w="3888"/>
            <w:shd w:fill="F1F5F9"/>
          </w:tcPr>
          <w:p>
            <w:pPr>
              <w:spacing w:after="40"/>
            </w:pPr>
            <w:r>
              <w:rPr>
                <w:sz w:val="18"/>
              </w:rPr>
              <w:t>Post-urban squatter occupation period.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