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E3A8A"/>
          <w:sz w:val="18"/>
        </w:rPr>
        <w:t>DHOLAVIRA GUJARAT CULTURAL HERITAGE &amp; INDUS VALLEY KNOWLEDGE BASE</w:t>
      </w:r>
    </w:p>
    <w:p>
      <w:pPr>
        <w:spacing w:after="280"/>
      </w:pPr>
      <w:r>
        <w:rPr>
          <w:rFonts w:ascii="Arial" w:hAnsi="Arial"/>
          <w:b/>
          <w:color w:val="B91C1C"/>
          <w:sz w:val="42"/>
        </w:rPr>
        <w:t>21. Burials, Mortuary Practices &amp; Skeletal Evidence</w:t>
      </w:r>
    </w:p>
    <w:p>
      <w:pPr>
        <w:spacing w:before="280" w:after="120"/>
      </w:pPr>
      <w:r>
        <w:rPr>
          <w:rFonts w:ascii="Arial" w:hAnsi="Arial"/>
          <w:b/>
          <w:color w:val="B91C1C"/>
          <w:sz w:val="30"/>
        </w:rPr>
        <w:t>1. Death &amp; Burial Rites at Dholavira</w:t>
      </w:r>
    </w:p>
    <w:p>
      <w:pPr>
        <w:spacing w:after="120" w:line="276" w:lineRule="auto"/>
      </w:pPr>
      <w:r>
        <w:rPr>
          <w:i w:val="0"/>
        </w:rPr>
        <w:t>Funerary evidence from Dholavira provides insights into Harappan beliefs about death, afterlife, and social identity. Dholavira's cemetery lies to the west of the main city perimeter [Source: DHO-S001, DHO-S003].</w:t>
      </w:r>
    </w:p>
    <w:p>
      <w:pPr>
        <w:pStyle w:val="ListBullet"/>
        <w:spacing w:after="80" w:line="276" w:lineRule="auto"/>
      </w:pPr>
      <w:r>
        <w:rPr>
          <w:b/>
          <w:color w:val="1E3A8A"/>
        </w:rPr>
        <w:t xml:space="preserve">Burial Types: </w:t>
      </w:r>
      <w:r>
        <w:t>Rectangular or oval stone-lined grave pits. Both extended inhumation (body laid flat) and possible post-cremation burial (symbolic/cenotaph graves with no skeletal remains but with funerary goods) documented.</w:t>
      </w:r>
    </w:p>
    <w:p>
      <w:pPr>
        <w:pStyle w:val="ListBullet"/>
        <w:spacing w:after="80" w:line="276" w:lineRule="auto"/>
      </w:pPr>
      <w:r>
        <w:rPr>
          <w:b/>
          <w:color w:val="1E3A8A"/>
        </w:rPr>
        <w:t xml:space="preserve">Grave Goods: </w:t>
      </w:r>
      <w:r>
        <w:t>Beads (carnelian, shell, faience), pottery vessels (for food/water provisions), bronze ornaments, and shell bangles deposited as grave goods indicating belief in afterlife or ancestor honoring.</w:t>
      </w:r>
    </w:p>
    <w:p>
      <w:pPr>
        <w:pStyle w:val="ListBullet"/>
        <w:spacing w:after="80" w:line="276" w:lineRule="auto"/>
      </w:pPr>
      <w:r>
        <w:rPr>
          <w:b/>
          <w:color w:val="1E3A8A"/>
        </w:rPr>
        <w:t xml:space="preserve">Cenotaph Graves: </w:t>
      </w:r>
      <w:r>
        <w:t>Some graves at Dholavira contain no human skeletal remains (cenotaphs), possibly representing individuals who died away from the city (maritime trade deaths, military campaigns).</w:t>
      </w:r>
    </w:p>
    <w:tbl>
      <w:tblPr>
        <w:tblW w:type="auto" w:w="0"/>
        <w:jc w:val="center"/>
        <w:tblLook w:firstColumn="1" w:firstRow="1" w:lastColumn="0" w:lastRow="0" w:noHBand="0" w:noVBand="1" w:val="04A0"/>
      </w:tblPr>
      <w:tblGrid>
        <w:gridCol w:w="9360"/>
      </w:tblGrid>
      <w:tr>
        <w:tc>
          <w:tcPr>
            <w:tcW w:type="dxa" w:w="9360"/>
            <w:shd w:fill="F8FAFC"/>
            <w:tcBorders>
              <w:top w:val="none"/>
              <w:left w:val="single" w:sz="24" w:space="0" w:color="1E3A8A"/>
              <w:bottom w:val="none"/>
              <w:right w:val="none"/>
            </w:tcBorders>
          </w:tcPr>
          <w:p>
            <w:pPr>
              <w:spacing w:after="80"/>
              <w:ind w:left="144"/>
            </w:pPr>
            <w:r>
              <w:rPr>
                <w:rFonts w:ascii="Arial" w:hAnsi="Arial"/>
                <w:b/>
                <w:color w:val="1E3A8A"/>
                <w:sz w:val="19"/>
              </w:rPr>
              <w:t>[MORTUARY EVIDENCE: DATA LIMITATIONS]</w:t>
              <w:br/>
            </w:r>
            <w:r>
              <w:rPr>
                <w:sz w:val="19"/>
              </w:rPr>
              <w:t>Skeletal remains from Dholavira are fragmentary due to soil acidity. DNA or isotopic analysis data is limited compared to Rakhigarhi. Burial evidence is primarily from ASI excavation field notes (Bisht, 1989–2005) rather than published osteological reports.</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