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24. Post-Urban Phase &amp; Post-Harappan Occupation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Life After the Mature Harappan Peak</w:t>
      </w:r>
    </w:p>
    <w:p>
      <w:pPr>
        <w:spacing w:after="120" w:line="276" w:lineRule="auto"/>
      </w:pPr>
      <w:r>
        <w:rPr>
          <w:i w:val="0"/>
        </w:rPr>
        <w:t>After the desertion of the Mature Harappan city (c. 1900 BCE), Dholavira witnessed two subsequent waves of re-occupation by Post-Urban Harappan communities (Stages VI and VII) between c. 1850–1450 BCE [Source: DHO-S001, DHO-S004].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Stage VI — Post-Urban A: </w:t>
      </w:r>
      <w:r>
        <w:t>Stage VI (c. 1850–1750 BCE): Smaller circular structures ('bungas' — circular huts) built over the ruins of the Lower Town. Jhukar-type ceramics replace Mature Harappan pottery. No planned city layout. Small-scale agriculture and herding.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Stage VII — Post-Urban B: </w:t>
      </w:r>
      <w:r>
        <w:t>Stage VII (c. 1650–1450 BCE): Final squatter occupation. Walls reused for shelter. Coarse handmade pottery. No evidence of script, seals, or standardized weights. Complete collapse of urban systems.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  <w:ind w:left="144"/>
            </w:pPr>
            <w:r>
              <w:rPr>
                <w:rFonts w:ascii="Arial" w:hAnsi="Arial"/>
                <w:b/>
                <w:color w:val="1E3A8A"/>
                <w:sz w:val="19"/>
              </w:rPr>
              <w:t>[POST-URBAN TRANSITION: ARCHAEOLOGICAL INTERPRETATION]</w:t>
              <w:br/>
            </w:r>
            <w:r>
              <w:rPr>
                <w:sz w:val="19"/>
              </w:rPr>
              <w:t>Post-Urban phases at Dholavira show transformation rather than sudden collapse. Smaller communities reused Harappan infrastructure (walls, reservoirs) without maintaining urban standards — a pattern seen across Harappan cities in Gujarat and Sindh.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