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E3A8A"/>
          <w:sz w:val="18"/>
        </w:rPr>
        <w:t>DHOLAVIRA GUJARAT CULTURAL HERITAGE &amp; INDUS VALLEY KNOWLEDGE BASE</w:t>
      </w:r>
    </w:p>
    <w:p>
      <w:pPr>
        <w:spacing w:after="280"/>
      </w:pPr>
      <w:r>
        <w:rPr>
          <w:rFonts w:ascii="Arial" w:hAnsi="Arial"/>
          <w:b/>
          <w:color w:val="B91C1C"/>
          <w:sz w:val="42"/>
        </w:rPr>
        <w:t>27. Dholavira Gates &amp; Entry Architecture</w:t>
      </w:r>
    </w:p>
    <w:p>
      <w:pPr>
        <w:spacing w:before="280" w:after="120"/>
      </w:pPr>
      <w:r>
        <w:rPr>
          <w:rFonts w:ascii="Arial" w:hAnsi="Arial"/>
          <w:b/>
          <w:color w:val="B91C1C"/>
          <w:sz w:val="30"/>
        </w:rPr>
        <w:t>1. Monumental Gateway Architecture</w:t>
      </w:r>
    </w:p>
    <w:p>
      <w:pPr>
        <w:spacing w:after="120" w:line="276" w:lineRule="auto"/>
      </w:pPr>
      <w:r>
        <w:rPr>
          <w:i w:val="0"/>
        </w:rPr>
        <w:t>Dholavira's monumental gateways are among the finest examples of Bronze Age urban entry architecture in South Asia. Excavations revealed at least 7 major gates set within the city's multi-tiered fortification walls [Source: DHO-S001].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Gateway Name</w:t>
            </w:r>
          </w:p>
        </w:tc>
        <w:tc>
          <w:tcPr>
            <w:tcW w:type="dxa" w:w="2592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Location</w:t>
            </w:r>
          </w:p>
        </w:tc>
        <w:tc>
          <w:tcPr>
            <w:tcW w:type="dxa" w:w="2880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Dimensions &amp; Features</w:t>
            </w:r>
          </w:p>
        </w:tc>
        <w:tc>
          <w:tcPr>
            <w:tcW w:type="dxa" w:w="3744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Significance</w:t>
            </w:r>
          </w:p>
        </w:tc>
      </w:tr>
      <w:tr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Castle North Gate</w:t>
            </w:r>
          </w:p>
        </w:tc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Northern wall of the Castle (Citadel inner zone).</w:t>
            </w:r>
          </w:p>
        </w:tc>
        <w:tc>
          <w:tcPr>
            <w:tcW w:type="dxa" w:w="2880"/>
            <w:shd w:fill="FFFFFF"/>
          </w:tcPr>
          <w:p>
            <w:pPr>
              <w:spacing w:after="40"/>
            </w:pPr>
            <w:r>
              <w:rPr>
                <w:sz w:val="18"/>
              </w:rPr>
              <w:t>Two parallel wall sections creating a funnel entry; flanking stone towers.</w:t>
            </w:r>
          </w:p>
        </w:tc>
        <w:tc>
          <w:tcPr>
            <w:tcW w:type="dxa" w:w="3744"/>
            <w:shd w:fill="FFFFFF"/>
          </w:tcPr>
          <w:p>
            <w:pPr>
              <w:spacing w:after="40"/>
            </w:pPr>
            <w:r>
              <w:rPr>
                <w:sz w:val="18"/>
              </w:rPr>
              <w:t>Site of the famous 10-sign Dholavira Signboard [DHO-S006].</w:t>
            </w:r>
          </w:p>
        </w:tc>
      </w:tr>
      <w:tr>
        <w:tc>
          <w:tcPr>
            <w:tcW w:type="dxa" w:w="2592"/>
            <w:shd w:fill="F1F5F9"/>
          </w:tcPr>
          <w:p>
            <w:pPr>
              <w:spacing w:after="40"/>
            </w:pPr>
            <w:r>
              <w:rPr>
                <w:sz w:val="18"/>
              </w:rPr>
              <w:t>Bailey West Gate</w:t>
            </w:r>
          </w:p>
        </w:tc>
        <w:tc>
          <w:tcPr>
            <w:tcW w:type="dxa" w:w="2592"/>
            <w:shd w:fill="F1F5F9"/>
          </w:tcPr>
          <w:p>
            <w:pPr>
              <w:spacing w:after="40"/>
            </w:pPr>
            <w:r>
              <w:rPr>
                <w:sz w:val="18"/>
              </w:rPr>
              <w:t>Western perimeter of the Bailey.</w:t>
            </w:r>
          </w:p>
        </w:tc>
        <w:tc>
          <w:tcPr>
            <w:tcW w:type="dxa" w:w="2880"/>
            <w:shd w:fill="F1F5F9"/>
          </w:tcPr>
          <w:p>
            <w:pPr>
              <w:spacing w:after="40"/>
            </w:pPr>
            <w:r>
              <w:rPr>
                <w:sz w:val="18"/>
              </w:rPr>
              <w:t>Wide ceremonial entry with elaborate stone pillar bases.</w:t>
            </w:r>
          </w:p>
        </w:tc>
        <w:tc>
          <w:tcPr>
            <w:tcW w:type="dxa" w:w="3744"/>
            <w:shd w:fill="F1F5F9"/>
          </w:tcPr>
          <w:p>
            <w:pPr>
              <w:spacing w:after="40"/>
            </w:pPr>
            <w:r>
              <w:rPr>
                <w:sz w:val="18"/>
              </w:rPr>
              <w:t>Main ceremonial access to Citadel administrative quarter.</w:t>
            </w:r>
          </w:p>
        </w:tc>
      </w:tr>
      <w:tr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Middle Town South Gate</w:t>
            </w:r>
          </w:p>
        </w:tc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Southern wall of Middle Town.</w:t>
            </w:r>
          </w:p>
        </w:tc>
        <w:tc>
          <w:tcPr>
            <w:tcW w:type="dxa" w:w="2880"/>
            <w:shd w:fill="FFFFFF"/>
          </w:tcPr>
          <w:p>
            <w:pPr>
              <w:spacing w:after="40"/>
            </w:pPr>
            <w:r>
              <w:rPr>
                <w:sz w:val="18"/>
              </w:rPr>
              <w:t>Double-leaf wooden door fittings (socket stones excavated).</w:t>
            </w:r>
          </w:p>
        </w:tc>
        <w:tc>
          <w:tcPr>
            <w:tcW w:type="dxa" w:w="3744"/>
            <w:shd w:fill="FFFFFF"/>
          </w:tcPr>
          <w:p>
            <w:pPr>
              <w:spacing w:after="40"/>
            </w:pPr>
            <w:r>
              <w:rPr>
                <w:sz w:val="18"/>
              </w:rPr>
              <w:t>Primary link between Ceremonial Stadium and Middle Town.</w:t>
            </w:r>
          </w:p>
        </w:tc>
      </w:tr>
      <w:tr>
        <w:tc>
          <w:tcPr>
            <w:tcW w:type="dxa" w:w="2592"/>
            <w:shd w:fill="F1F5F9"/>
          </w:tcPr>
          <w:p>
            <w:pPr>
              <w:spacing w:after="40"/>
            </w:pPr>
            <w:r>
              <w:rPr>
                <w:sz w:val="18"/>
              </w:rPr>
              <w:t>Lower Town East Gate</w:t>
            </w:r>
          </w:p>
        </w:tc>
        <w:tc>
          <w:tcPr>
            <w:tcW w:type="dxa" w:w="2592"/>
            <w:shd w:fill="F1F5F9"/>
          </w:tcPr>
          <w:p>
            <w:pPr>
              <w:spacing w:after="40"/>
            </w:pPr>
            <w:r>
              <w:rPr>
                <w:sz w:val="18"/>
              </w:rPr>
              <w:t>Eastern perimeter wall of Lower Town.</w:t>
            </w:r>
          </w:p>
        </w:tc>
        <w:tc>
          <w:tcPr>
            <w:tcW w:type="dxa" w:w="2880"/>
            <w:shd w:fill="F1F5F9"/>
          </w:tcPr>
          <w:p>
            <w:pPr>
              <w:spacing w:after="40"/>
            </w:pPr>
            <w:r>
              <w:rPr>
                <w:sz w:val="18"/>
              </w:rPr>
              <w:t>Wide entry aligned with Lower Town's main east–west street.</w:t>
            </w:r>
          </w:p>
        </w:tc>
        <w:tc>
          <w:tcPr>
            <w:tcW w:type="dxa" w:w="3744"/>
            <w:shd w:fill="F1F5F9"/>
          </w:tcPr>
          <w:p>
            <w:pPr>
              <w:spacing w:after="40"/>
            </w:pPr>
            <w:r>
              <w:rPr>
                <w:sz w:val="18"/>
              </w:rPr>
              <w:t>Trade and artisan entry/exit point; probable marketplace access.</w:t>
            </w:r>
          </w:p>
        </w:tc>
      </w:tr>
      <w:tr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Outer Perimeter Gates</w:t>
            </w:r>
          </w:p>
        </w:tc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Four cardinal points of 771 m × 616 m outer wall.</w:t>
            </w:r>
          </w:p>
        </w:tc>
        <w:tc>
          <w:tcPr>
            <w:tcW w:type="dxa" w:w="2880"/>
            <w:shd w:fill="FFFFFF"/>
          </w:tcPr>
          <w:p>
            <w:pPr>
              <w:spacing w:after="40"/>
            </w:pPr>
            <w:r>
              <w:rPr>
                <w:sz w:val="18"/>
              </w:rPr>
              <w:t>Large stone-lined entry corridors.</w:t>
            </w:r>
          </w:p>
        </w:tc>
        <w:tc>
          <w:tcPr>
            <w:tcW w:type="dxa" w:w="3744"/>
            <w:shd w:fill="FFFFFF"/>
          </w:tcPr>
          <w:p>
            <w:pPr>
              <w:spacing w:after="40"/>
            </w:pPr>
            <w:r>
              <w:rPr>
                <w:sz w:val="18"/>
              </w:rPr>
              <w:t>City's primary trade and defense access control points.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Georgia" w:hAnsi="Georgia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