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CULTURAL HERITAGE &amp; INDUS VALLEY KNOWLEDGE BASE</w:t>
      </w:r>
    </w:p>
    <w:p>
      <w:pPr>
        <w:spacing w:after="280"/>
      </w:pPr>
      <w:r>
        <w:rPr>
          <w:rFonts w:ascii="Arial" w:hAnsi="Arial"/>
          <w:b/>
          <w:color w:val="B91C1C"/>
          <w:sz w:val="42"/>
        </w:rPr>
        <w:t>30. Site Conservation &amp; Heritage Management</w:t>
      </w:r>
    </w:p>
    <w:p>
      <w:pPr>
        <w:spacing w:before="280" w:after="120"/>
      </w:pPr>
      <w:r>
        <w:rPr>
          <w:rFonts w:ascii="Arial" w:hAnsi="Arial"/>
          <w:b/>
          <w:color w:val="B91C1C"/>
          <w:sz w:val="30"/>
        </w:rPr>
        <w:t>1. Preservation Challenges at Dholavira</w:t>
      </w:r>
    </w:p>
    <w:p>
      <w:pPr>
        <w:spacing w:after="120" w:line="276" w:lineRule="auto"/>
      </w:pPr>
      <w:r>
        <w:rPr>
          <w:i w:val="0"/>
        </w:rPr>
        <w:t>Dholavira faces significant conservation challenges as an exposed archaeological site in the harsh Kutch desert environment. The ASI, in coordination with UNESCO and the Gujarat State Government, manages the site under the Ancient Monuments and Archaeological Sites and Remains Act, 1958 [Source: DHO-S002, DHO-S011].</w:t>
      </w:r>
    </w:p>
    <w:p>
      <w:pPr>
        <w:pStyle w:val="ListBullet"/>
        <w:spacing w:after="80" w:line="276" w:lineRule="auto"/>
      </w:pPr>
      <w:r>
        <w:rPr>
          <w:b/>
          <w:color w:val="1E3A8A"/>
        </w:rPr>
        <w:t xml:space="preserve">Flash Flood &amp; Erosion Risk: </w:t>
      </w:r>
      <w:r>
        <w:t>Periodic monsoon rains and flash flooding from Manhar and Mansar streams cause erosion of exposed mud-brick structures and stone masonry walls.</w:t>
      </w:r>
    </w:p>
    <w:p>
      <w:pPr>
        <w:pStyle w:val="ListBullet"/>
        <w:spacing w:after="80" w:line="276" w:lineRule="auto"/>
      </w:pPr>
      <w:r>
        <w:rPr>
          <w:b/>
          <w:color w:val="1E3A8A"/>
        </w:rPr>
        <w:t xml:space="preserve">Aeolian Erosion &amp; Salt Weathering: </w:t>
      </w:r>
      <w:r>
        <w:t>Wind-blown sand and salt crystal growth (from the Rann) degrade stone surfaces and cause exfoliation of masonry layers.</w:t>
      </w:r>
    </w:p>
    <w:p>
      <w:pPr>
        <w:pStyle w:val="ListBullet"/>
        <w:spacing w:after="80" w:line="276" w:lineRule="auto"/>
      </w:pPr>
      <w:r>
        <w:rPr>
          <w:b/>
          <w:color w:val="1E3A8A"/>
        </w:rPr>
        <w:t xml:space="preserve">Post-UNESCO Tourism Pressure: </w:t>
      </w:r>
      <w:r>
        <w:t>Post-2021 UNESCO inscription increased visitor numbers significantly — requiring visitor flow management protocols to prevent footpath erosion over exposed structures.</w:t>
      </w:r>
    </w:p>
    <w:p>
      <w:pPr>
        <w:spacing w:before="200" w:after="80"/>
      </w:pPr>
      <w:r>
        <w:rPr>
          <w:rFonts w:ascii="Arial" w:hAnsi="Arial"/>
          <w:b/>
          <w:color w:val="1E3A8A"/>
          <w:sz w:val="26"/>
        </w:rPr>
        <w:t>2. Conservation Interventions</w:t>
      </w:r>
    </w:p>
    <w:p>
      <w:pPr>
        <w:pStyle w:val="ListBullet"/>
        <w:spacing w:after="80" w:line="276" w:lineRule="auto"/>
      </w:pPr>
      <w:r>
        <w:rPr>
          <w:b/>
          <w:color w:val="1E3A8A"/>
        </w:rPr>
        <w:t xml:space="preserve">ASI Protective Structures: </w:t>
      </w:r>
      <w:r>
        <w:t>ASI has installed stone revetments, gravel drainage channels, and lime shelter roofs over key exposed structures to reduce weathering.</w:t>
      </w:r>
    </w:p>
    <w:p>
      <w:pPr>
        <w:pStyle w:val="ListBullet"/>
        <w:spacing w:after="80" w:line="276" w:lineRule="auto"/>
      </w:pPr>
      <w:r>
        <w:rPr>
          <w:b/>
          <w:color w:val="1E3A8A"/>
        </w:rPr>
        <w:t xml:space="preserve">On-Site Museum: </w:t>
      </w:r>
      <w:r>
        <w:t>The Dholavira Archaeological Museum (established near the site) displays artifacts with context interpretation panels.</w:t>
      </w:r>
    </w:p>
    <w:tbl>
      <w:tblPr>
        <w:tblW w:type="auto" w:w="0"/>
        <w:jc w:val="center"/>
        <w:tblLook w:firstColumn="1" w:firstRow="1" w:lastColumn="0" w:lastRow="0" w:noHBand="0" w:noVBand="1" w:val="04A0"/>
      </w:tblPr>
      <w:tblGrid>
        <w:gridCol w:w="9360"/>
      </w:tblGrid>
      <w:tr>
        <w:tc>
          <w:tcPr>
            <w:tcW w:type="dxa" w:w="9360"/>
            <w:shd w:fill="F8FAFC"/>
            <w:tcBorders>
              <w:top w:val="none"/>
              <w:left w:val="single" w:sz="24" w:space="0" w:color="1E3A8A"/>
              <w:bottom w:val="none"/>
              <w:right w:val="none"/>
            </w:tcBorders>
          </w:tcPr>
          <w:p>
            <w:pPr>
              <w:spacing w:after="80"/>
              <w:ind w:left="144"/>
            </w:pPr>
            <w:r>
              <w:rPr>
                <w:rFonts w:ascii="Arial" w:hAnsi="Arial"/>
                <w:b/>
                <w:color w:val="1E3A8A"/>
                <w:sz w:val="19"/>
              </w:rPr>
              <w:t>[CONSERVATION DATA: SOURCE VERIFICATION NOTE]</w:t>
              <w:br/>
            </w:r>
            <w:r>
              <w:rPr>
                <w:sz w:val="19"/>
              </w:rPr>
              <w:t>Heritage management information is sourced from ASI conservation reports and UNESCO Periodic Reports (2023). Specific budget figures and conservation project timelines require verification with current ASI documentation.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