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33. Dholavira in Regional Cultural Landscape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Dholavira Within Kutch's Living Heritage</w:t>
      </w:r>
    </w:p>
    <w:p>
      <w:pPr>
        <w:spacing w:after="120" w:line="276" w:lineRule="auto"/>
      </w:pPr>
      <w:r>
        <w:rPr>
          <w:i w:val="0"/>
        </w:rPr>
        <w:t>Dholavira does not exist in isolation but within a rich living cultural landscape of Kutch — one of India's most vibrant craft, textile, and folk tradition regions. The modern district of Kutch preserves continuities that scholars explore in relation to the ancient Harappan settlement [Source: DHO-S003, DHO-S009].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Kutch Living Craft Traditions: </w:t>
      </w:r>
      <w:r>
        <w:t>Kutch's famous embroidery (Kutchi bharat), mirror work (shisha embroidery), leather crafts, and copper bell making echo craft specialization patterns documented at Dholavira's workshops — though direct cultural continuity is unproven.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Adaptive Communities of the Rann: </w:t>
      </w:r>
      <w:r>
        <w:t>Seasonal salt-farming on the Rann of Kutch by Agaria communities, semi-nomadic herding by Rabari pastoralists, and fishing by Koli and Wagher communities reflect the same ecological adaptations practiced by ancient Khadir Bet inhabitants.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Cultural Branding &amp; Identity: </w:t>
      </w:r>
      <w:r>
        <w:t>The 10-sign Dholavira Signboard has been incorporated into Gujarat's state cultural branding and appears on Gujarat Tourism promotional materials, school textbooks, and the ASI's national heritage communication.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