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34. Education, Curriculum &amp; Knowledge Outreach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Dholavira in Indian Educational Curriculum</w:t>
      </w:r>
    </w:p>
    <w:p>
      <w:pPr>
        <w:spacing w:after="120" w:line="276" w:lineRule="auto"/>
      </w:pPr>
      <w:r>
        <w:rPr>
          <w:i w:val="0"/>
        </w:rPr>
        <w:t>Dholavira features in the NCERT Social Science and History curriculum at the Grade 6 and Grade 11 levels in India. Its UNESCO inscription has accelerated inclusion of site-specific content in state educational frameworks of Gujarat, Maharashtra, and Rajasthan [Source: DHO-S002, DHO-S011].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Educational Level</w:t>
            </w:r>
          </w:p>
        </w:tc>
        <w:tc>
          <w:tcPr>
            <w:tcW w:type="dxa" w:w="50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Curriculum Content</w:t>
            </w:r>
          </w:p>
        </w:tc>
        <w:tc>
          <w:tcPr>
            <w:tcW w:type="dxa" w:w="388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Board / Framework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Grade 6 — Social Science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Introduction to Harappan Civilization; Dholavira mentioned as key Indian site.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NCERT India; Gujarat State Board.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Grade 11 — History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Detailed chapter on Harappan cities; Dholavira's urban planning and water systems discussed.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NCERT History: Themes in Indian History Part I.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Undergraduate Archaeology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case study: 7 cultural stages; signboard; water harvesting engineering.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University departments of History and Archaeology.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Professional Training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ASI training courses for site conservators and archaeologists use Dholavira documentation.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ASI Training Institute, Dehradun.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