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35. Digital Heritage: 3D Scanning &amp; Documentation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Digital Documentation Initiatives at Dholavira</w:t>
      </w:r>
    </w:p>
    <w:p>
      <w:pPr>
        <w:spacing w:after="120" w:line="276" w:lineRule="auto"/>
      </w:pPr>
      <w:r>
        <w:rPr>
          <w:i w:val="0"/>
        </w:rPr>
        <w:t>Several digital documentation and visualization projects have been undertaken at Dholavira to create permanent records of the site's structures and enable virtual access for researchers and the public [Source: DHO-S011, DHO-S012].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3D Photogrammetry &amp; LiDAR: </w:t>
      </w:r>
      <w:r>
        <w:t>Photogrammetry and LiDAR surveys conducted by ASI and partner institutions have created high-resolution 3D digital terrain models of the site and selected structures.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Virtual Reality Walkthroughs: </w:t>
      </w:r>
      <w:r>
        <w:t>The ASI's 'Digi Yatra' and Incredible India initiatives include VR walkthroughs of Dholavira's major zones available online and at on-site kiosks.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GIS Archaeological Database: </w:t>
      </w:r>
      <w:r>
        <w:t>GIS-based mapping of the 13 field seasons of excavation trenches, artifact find spots, and structural remains is maintained by ASI Vadodara Circle.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  <w:ind w:left="144"/>
            </w:pPr>
            <w:r>
              <w:rPr>
                <w:rFonts w:ascii="Arial" w:hAnsi="Arial"/>
                <w:b/>
                <w:color w:val="1E3A8A"/>
                <w:sz w:val="19"/>
              </w:rPr>
              <w:t>[DIGITAL DOCUMENTATION: VERIFY CURRENT STATUS]</w:t>
              <w:br/>
            </w:r>
            <w:r>
              <w:rPr>
                <w:sz w:val="19"/>
              </w:rPr>
              <w:t>Specific digital documentation project names, institutions, and completion dates should be verified against the most current ASI Annual Report and partner institution publications. Digital heritage initiatives evolve rapidly.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