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38. Cultural Heritage Routes &amp; Harappan Trail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Dholavira as Anchor of a Harappan Heritage Trail</w:t>
      </w:r>
    </w:p>
    <w:p>
      <w:pPr>
        <w:spacing w:after="120" w:line="276" w:lineRule="auto"/>
      </w:pPr>
      <w:r>
        <w:rPr>
          <w:i w:val="0"/>
        </w:rPr>
        <w:t>Dholavira can be positioned as the centrepiece of a multi-site Harappan Heritage Trail through Gujarat, connecting to other major Harappan and early historic sites within a 300 km radius [Source: DHO-S011, Tourism Framework].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Site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Distance from Dholavira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Heritage Significance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UNESCO / Protected Status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Lothal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~240 km south (Saurashtra coast).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Harappan tidal dockyard; bead factory; Gulf trade terminal.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ASI Protected Monument; UNESCO Tentative List.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Rangpur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~200 km south.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Post-Urban Harappan ceramics; Harappan-to-historic transition site.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ASI Protected.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Surkotada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~150 km southeast (Kutch).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First horse bones (Equus caballus) in Harappan context; fortified settlement.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ASI Protected.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Bhuj (Kutch Museum)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~250 km northwest.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Premier museum of Kutch art, crafts, and Harappan artifacts.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Active state museum.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Modhera Sun Temple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~280 km east.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11th–century Solanki-period Sun Temple (CE 1026-27).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ASI Protected; UNESCO Tentative List.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