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44. Future Research Agenda &amp; Unanswered Questions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Open Questions in Dholavira Archaeology</w:t>
      </w:r>
    </w:p>
    <w:p>
      <w:pPr>
        <w:spacing w:after="120" w:line="276" w:lineRule="auto"/>
      </w:pPr>
      <w:r>
        <w:rPr>
          <w:i w:val="0"/>
        </w:rPr>
        <w:t>Despite 13 field seasons by ASI, Dholavira continues to present significant unanswered questions that future research programs must address [Source: DHO-S001, DHO-S012].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Research Question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Current Evidence Status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Required Research Method</w:t>
            </w:r>
          </w:p>
        </w:tc>
        <w:tc>
          <w:tcPr>
            <w:tcW w:type="dxa" w:w="144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Priority Level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Who ruled Dholavira? (Political system)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No palaces or throne rooms identified; civic governance structure unknown.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Comparative urbanism analysis; future elite zone excavation.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What does the 10-sign Signboard say?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10 Indus script signs identified; meaning unknown — script undeciphered.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Machine learning decipherment + bilingual inscription discovery.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caused the final abandonment?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Climate weakening most supported; but social / political causes unclear.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Paleoclimate isotopes, population migration aDNA analysis.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Are there unexcavated elite structures?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Only ~30% of Middle Town excavated; eastern reservoirs partially mapped.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GPR (Ground Penetrating Radar) surveys; extended excavation programs.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happened to the population post-1450 BCE?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Post-urban squatters documented; long-term population dispersal unknown.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Regional survey, radiocarbon dating of Gujarat Chalcolithic sites.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MODERATE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