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50. Cultural Storytelling Scripts &amp; Heritage Narratives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Heritage Storytelling Scripts for Digital Platform</w:t>
      </w:r>
    </w:p>
    <w:p>
      <w:pPr>
        <w:spacing w:after="120" w:line="276" w:lineRule="auto"/>
      </w:pPr>
      <w:r>
        <w:rPr>
          <w:i w:val="0"/>
        </w:rPr>
        <w:t>These storytelling scripts are designed for interactive audio guides, animated heritage journeys, and AI-narrated cultural experiences on the Dholavira digital platform.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The City Awakens — A Morning in Mature Harappan Dholavira (c. 2300 BCE)</w:t>
      </w:r>
    </w:p>
    <w:p>
      <w:pPr>
        <w:spacing w:after="120" w:line="276" w:lineRule="auto"/>
      </w:pPr>
      <w:r>
        <w:rPr>
          <w:i/>
        </w:rPr>
        <w:t>The stone-paved streets of Kotada Timba (the Great Fortified Mound) glisten before dawn. Two seasonal streams — the Manhar to the south and the Mansar to the north — whisper through the stone dams that our engineers built three generations ago. Their water fills our sixteen great tanks, and the city drinks deeply.</w:t>
      </w:r>
    </w:p>
    <w:p>
      <w:pPr>
        <w:spacing w:after="120" w:line="276" w:lineRule="auto"/>
      </w:pPr>
      <w:r>
        <w:rPr>
          <w:i/>
        </w:rPr>
        <w:t>From the Bailey's administrative chambers, the city's scribes prepare clay tablets for the morning's trade audit. At the Lower Town's carnelian quarter, a master driller steadies his bronze-tipped bow drill against a blood-red stone — this barrel bead will travel by ship to the cities of Mesopotamia, where it will adorn a queen's necklace. Our city speaks to the world in the language of craft.</w:t>
      </w:r>
    </w:p>
    <w:p>
      <w:pPr>
        <w:spacing w:after="120" w:line="276" w:lineRule="auto"/>
      </w:pPr>
      <w:r>
        <w:rPr>
          <w:i/>
        </w:rPr>
        <w:t>At the Castle's North Gate, ten great white symbols blaze in the morning light — crystalline gypsum letters inlaid into a vast wooden board above the gateway. Visitors from distant lands see them and understand: they have arrived in a city of learning, law, and power. This is Dholavira.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[STORYTELLING CONTENT: CREATIVE RECONSTRUCTION DISCLOSURE]</w:t>
              <w:br/>
            </w:r>
            <w:r>
              <w:rPr>
                <w:sz w:val="19"/>
              </w:rPr>
              <w:t>This narrative is a creative reconstruction for educational storytelling purposes, based on archaeological evidence (craft debris, trade goods, reservoir engineering, the Signboard). It is clearly fictional in format while grounded in documented facts.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