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 COMPLETE CULTURAL HERITAGE &amp; ARCHAEOLOGICAL KNOWLEDGE BASE</w:t>
      </w:r>
    </w:p>
    <w:p>
      <w:pPr>
        <w:spacing w:after="280"/>
      </w:pPr>
      <w:r>
        <w:rPr>
          <w:rFonts w:ascii="Arial" w:hAnsi="Arial"/>
          <w:b/>
          <w:color w:val="B91C1C"/>
          <w:sz w:val="42"/>
        </w:rPr>
        <w:t>DHOLAVIRA MASTER RESEARCH COMPENDIUM</w:t>
      </w:r>
    </w:p>
    <w:p>
      <w:pPr>
        <w:spacing w:before="280" w:after="120"/>
      </w:pPr>
      <w:r>
        <w:rPr>
          <w:rFonts w:ascii="Arial" w:hAnsi="Arial"/>
          <w:b/>
          <w:color w:val="B91C1C"/>
          <w:sz w:val="30"/>
        </w:rPr>
        <w:t>PREFACE: About This Master Document</w:t>
      </w:r>
    </w:p>
    <w:p>
      <w:pPr>
        <w:spacing w:after="120" w:line="276" w:lineRule="auto"/>
      </w:pPr>
      <w:r>
        <w:rPr>
          <w:i w:val="0"/>
        </w:rPr>
        <w:t>This Master Research Compendium synthesizes the complete 54-document Dholavira Cultural Heritage &amp; Indus Valley Knowledge Base into a single comprehensive reference document. It is intended as the primary reference for researchers, educators, heritage platform developers, and cultural tourism professionals working with Dholavira's archaeological heritage.</w:t>
      </w:r>
    </w:p>
    <w:p>
      <w:pPr>
        <w:spacing w:after="120" w:line="276" w:lineRule="auto"/>
      </w:pPr>
      <w:r>
        <w:rPr>
          <w:i w:val="0"/>
        </w:rPr>
        <w:t>Research Standard: Every major factual claim in this document is sourced and traceable to the Master Source Registry (Document 52). Historical facts are distinguished from archaeological interpretations and scholarly hypotheses throughout. No invented or unverified information has been included.</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[MASTER DOCUMENT PURPOSE &amp; SCOPE]</w:t>
              <w:br/>
            </w:r>
            <w:r>
              <w:rPr>
                <w:sz w:val="19"/>
              </w:rPr>
              <w:t>This document represents a synthesis of 54 research modules covering Dholavira's geography, archaeology, architecture, water engineering, epigraphy, trade networks, society, religion, conservation, digital heritage, and AI knowledge base infrastructure. It is suitable for use as the backbone of an interactive cultural heritage platform, museum database, or educational AI system.</w:t>
            </w:r>
          </w:p>
        </w:tc>
      </w:tr>
    </w:tbl>
    <w:p>
      <w:pPr>
        <w:spacing w:after="80"/>
      </w:pPr>
    </w:p>
    <w:p>
      <w:pPr>
        <w:spacing w:before="280" w:after="120"/>
      </w:pPr>
      <w:r>
        <w:rPr>
          <w:rFonts w:ascii="Arial" w:hAnsi="Arial"/>
          <w:b/>
          <w:color w:val="B91C1C"/>
          <w:sz w:val="30"/>
        </w:rPr>
        <w:t>PART I: SITE IDENTITY &amp; FUNDAMENTAL FACTS</w:t>
      </w:r>
    </w:p>
    <w:p>
      <w:pPr>
        <w:spacing w:before="200" w:after="80"/>
      </w:pPr>
      <w:r>
        <w:rPr>
          <w:rFonts w:ascii="Arial" w:hAnsi="Arial"/>
          <w:b/>
          <w:color w:val="1E3A8A"/>
          <w:sz w:val="26"/>
        </w:rPr>
        <w:t>1.1 Core Site Identification</w:t>
      </w:r>
    </w:p>
    <w:tbl>
      <w:tblPr>
        <w:tblW w:type="auto" w:w="0"/>
        <w:jc w:val="center"/>
        <w:tblLook w:firstColumn="1" w:firstRow="1" w:lastColumn="0" w:lastRow="0" w:noHBand="0" w:noVBand="1" w:val="04A0"/>
      </w:tblPr>
      <w:tblGrid>
        <w:gridCol w:w="3120"/>
        <w:gridCol w:w="3120"/>
        <w:gridCol w:w="3120"/>
      </w:tblGrid>
      <w:tr>
        <w:tc>
          <w:tcPr>
            <w:tcW w:type="dxa" w:w="3600"/>
            <w:shd w:fill="1E3A8A"/>
          </w:tcPr>
          <w:p>
            <w:pPr>
              <w:spacing w:after="40"/>
              <w:jc w:val="left"/>
            </w:pPr>
            <w:r>
              <w:rPr>
                <w:rFonts w:ascii="Arial" w:hAnsi="Arial"/>
                <w:b/>
                <w:color w:val="FFFFFF"/>
                <w:sz w:val="19"/>
              </w:rPr>
              <w:t>Parameter</w:t>
            </w:r>
          </w:p>
        </w:tc>
        <w:tc>
          <w:tcPr>
            <w:tcW w:type="dxa" w:w="5760"/>
            <w:shd w:fill="1E3A8A"/>
          </w:tcPr>
          <w:p>
            <w:pPr>
              <w:spacing w:after="40"/>
              <w:jc w:val="left"/>
            </w:pPr>
            <w:r>
              <w:rPr>
                <w:rFonts w:ascii="Arial" w:hAnsi="Arial"/>
                <w:b/>
                <w:color w:val="FFFFFF"/>
                <w:sz w:val="19"/>
              </w:rPr>
              <w:t>Value</w:t>
            </w:r>
          </w:p>
        </w:tc>
        <w:tc>
          <w:tcPr>
            <w:tcW w:type="dxa" w:w="1728"/>
            <w:shd w:fill="1E3A8A"/>
          </w:tcPr>
          <w:p>
            <w:pPr>
              <w:spacing w:after="40"/>
              <w:jc w:val="left"/>
            </w:pPr>
            <w:r>
              <w:rPr>
                <w:rFonts w:ascii="Arial" w:hAnsi="Arial"/>
                <w:b/>
                <w:color w:val="FFFFFF"/>
                <w:sz w:val="19"/>
              </w:rPr>
              <w:t>Source</w:t>
            </w:r>
          </w:p>
        </w:tc>
      </w:tr>
      <w:tr>
        <w:tc>
          <w:tcPr>
            <w:tcW w:type="dxa" w:w="3600"/>
            <w:shd w:fill="FFFFFF"/>
          </w:tcPr>
          <w:p>
            <w:pPr>
              <w:spacing w:after="40"/>
            </w:pPr>
            <w:r>
              <w:rPr>
                <w:sz w:val="18"/>
              </w:rPr>
              <w:t>Full Site Name</w:t>
            </w:r>
          </w:p>
        </w:tc>
        <w:tc>
          <w:tcPr>
            <w:tcW w:type="dxa" w:w="5760"/>
            <w:shd w:fill="FFFFFF"/>
          </w:tcPr>
          <w:p>
            <w:pPr>
              <w:spacing w:after="40"/>
            </w:pPr>
            <w:r>
              <w:rPr>
                <w:sz w:val="18"/>
              </w:rPr>
              <w:t>Dholavira (locally: Kotada Timba — 'Large Fortified Mound')</w:t>
            </w:r>
          </w:p>
        </w:tc>
        <w:tc>
          <w:tcPr>
            <w:tcW w:type="dxa" w:w="1728"/>
            <w:shd w:fill="FFFFFF"/>
          </w:tcPr>
          <w:p>
            <w:pPr>
              <w:spacing w:after="40"/>
            </w:pPr>
            <w:r>
              <w:rPr>
                <w:sz w:val="18"/>
              </w:rPr>
              <w:t>DHO-S001</w:t>
            </w:r>
          </w:p>
        </w:tc>
      </w:tr>
      <w:tr>
        <w:tc>
          <w:tcPr>
            <w:tcW w:type="dxa" w:w="3600"/>
            <w:shd w:fill="F1F5F9"/>
          </w:tcPr>
          <w:p>
            <w:pPr>
              <w:spacing w:after="40"/>
            </w:pPr>
            <w:r>
              <w:rPr>
                <w:sz w:val="18"/>
              </w:rPr>
              <w:t>UNESCO Site Name</w:t>
            </w:r>
          </w:p>
        </w:tc>
        <w:tc>
          <w:tcPr>
            <w:tcW w:type="dxa" w:w="5760"/>
            <w:shd w:fill="F1F5F9"/>
          </w:tcPr>
          <w:p>
            <w:pPr>
              <w:spacing w:after="40"/>
            </w:pPr>
            <w:r>
              <w:rPr>
                <w:sz w:val="18"/>
              </w:rPr>
              <w:t>Dholavira: A Harappan City</w:t>
            </w:r>
          </w:p>
        </w:tc>
        <w:tc>
          <w:tcPr>
            <w:tcW w:type="dxa" w:w="1728"/>
            <w:shd w:fill="F1F5F9"/>
          </w:tcPr>
          <w:p>
            <w:pPr>
              <w:spacing w:after="40"/>
            </w:pPr>
            <w:r>
              <w:rPr>
                <w:sz w:val="18"/>
              </w:rPr>
              <w:t>DHO-S002</w:t>
            </w:r>
          </w:p>
        </w:tc>
      </w:tr>
      <w:tr>
        <w:tc>
          <w:tcPr>
            <w:tcW w:type="dxa" w:w="3600"/>
            <w:shd w:fill="FFFFFF"/>
          </w:tcPr>
          <w:p>
            <w:pPr>
              <w:spacing w:after="40"/>
            </w:pPr>
            <w:r>
              <w:rPr>
                <w:sz w:val="18"/>
              </w:rPr>
              <w:t>UNESCO WHS Number</w:t>
            </w:r>
          </w:p>
        </w:tc>
        <w:tc>
          <w:tcPr>
            <w:tcW w:type="dxa" w:w="5760"/>
            <w:shd w:fill="FFFFFF"/>
          </w:tcPr>
          <w:p>
            <w:pPr>
              <w:spacing w:after="40"/>
            </w:pPr>
            <w:r>
              <w:rPr>
                <w:sz w:val="18"/>
              </w:rPr>
              <w:t>1645</w:t>
            </w:r>
          </w:p>
        </w:tc>
        <w:tc>
          <w:tcPr>
            <w:tcW w:type="dxa" w:w="1728"/>
            <w:shd w:fill="FFFFFF"/>
          </w:tcPr>
          <w:p>
            <w:pPr>
              <w:spacing w:after="40"/>
            </w:pPr>
            <w:r>
              <w:rPr>
                <w:sz w:val="18"/>
              </w:rPr>
              <w:t>DHO-S002</w:t>
            </w:r>
          </w:p>
        </w:tc>
      </w:tr>
      <w:tr>
        <w:tc>
          <w:tcPr>
            <w:tcW w:type="dxa" w:w="3600"/>
            <w:shd w:fill="F1F5F9"/>
          </w:tcPr>
          <w:p>
            <w:pPr>
              <w:spacing w:after="40"/>
            </w:pPr>
            <w:r>
              <w:rPr>
                <w:sz w:val="18"/>
              </w:rPr>
              <w:t>UNESCO Inscription Date</w:t>
            </w:r>
          </w:p>
        </w:tc>
        <w:tc>
          <w:tcPr>
            <w:tcW w:type="dxa" w:w="5760"/>
            <w:shd w:fill="F1F5F9"/>
          </w:tcPr>
          <w:p>
            <w:pPr>
              <w:spacing w:after="40"/>
            </w:pPr>
            <w:r>
              <w:rPr>
                <w:sz w:val="18"/>
              </w:rPr>
              <w:t>27 July 2021 (44th World Heritage Committee Session)</w:t>
            </w:r>
          </w:p>
        </w:tc>
        <w:tc>
          <w:tcPr>
            <w:tcW w:type="dxa" w:w="1728"/>
            <w:shd w:fill="F1F5F9"/>
          </w:tcPr>
          <w:p>
            <w:pPr>
              <w:spacing w:after="40"/>
            </w:pPr>
            <w:r>
              <w:rPr>
                <w:sz w:val="18"/>
              </w:rPr>
              <w:t>DHO-S002</w:t>
            </w:r>
          </w:p>
        </w:tc>
      </w:tr>
      <w:tr>
        <w:tc>
          <w:tcPr>
            <w:tcW w:type="dxa" w:w="3600"/>
            <w:shd w:fill="FFFFFF"/>
          </w:tcPr>
          <w:p>
            <w:pPr>
              <w:spacing w:after="40"/>
            </w:pPr>
            <w:r>
              <w:rPr>
                <w:sz w:val="18"/>
              </w:rPr>
              <w:t>UNESCO Criteria</w:t>
            </w:r>
          </w:p>
        </w:tc>
        <w:tc>
          <w:tcPr>
            <w:tcW w:type="dxa" w:w="5760"/>
            <w:shd w:fill="FFFFFF"/>
          </w:tcPr>
          <w:p>
            <w:pPr>
              <w:spacing w:after="40"/>
            </w:pPr>
            <w:r>
              <w:rPr>
                <w:sz w:val="18"/>
              </w:rPr>
              <w:t>(iii) and (iv)</w:t>
            </w:r>
          </w:p>
        </w:tc>
        <w:tc>
          <w:tcPr>
            <w:tcW w:type="dxa" w:w="1728"/>
            <w:shd w:fill="FFFFFF"/>
          </w:tcPr>
          <w:p>
            <w:pPr>
              <w:spacing w:after="40"/>
            </w:pPr>
            <w:r>
              <w:rPr>
                <w:sz w:val="18"/>
              </w:rPr>
              <w:t>DHO-S002</w:t>
            </w:r>
          </w:p>
        </w:tc>
      </w:tr>
      <w:tr>
        <w:tc>
          <w:tcPr>
            <w:tcW w:type="dxa" w:w="3600"/>
            <w:shd w:fill="F1F5F9"/>
          </w:tcPr>
          <w:p>
            <w:pPr>
              <w:spacing w:after="40"/>
            </w:pPr>
            <w:r>
              <w:rPr>
                <w:sz w:val="18"/>
              </w:rPr>
              <w:t>India WHS Number</w:t>
            </w:r>
          </w:p>
        </w:tc>
        <w:tc>
          <w:tcPr>
            <w:tcW w:type="dxa" w:w="5760"/>
            <w:shd w:fill="F1F5F9"/>
          </w:tcPr>
          <w:p>
            <w:pPr>
              <w:spacing w:after="40"/>
            </w:pPr>
            <w:r>
              <w:rPr>
                <w:sz w:val="18"/>
              </w:rPr>
              <w:t>India's 40th World Heritage Site</w:t>
            </w:r>
          </w:p>
        </w:tc>
        <w:tc>
          <w:tcPr>
            <w:tcW w:type="dxa" w:w="1728"/>
            <w:shd w:fill="F1F5F9"/>
          </w:tcPr>
          <w:p>
            <w:pPr>
              <w:spacing w:after="40"/>
            </w:pPr>
            <w:r>
              <w:rPr>
                <w:sz w:val="18"/>
              </w:rPr>
              <w:t>DHO-S002</w:t>
            </w:r>
          </w:p>
        </w:tc>
      </w:tr>
      <w:tr>
        <w:tc>
          <w:tcPr>
            <w:tcW w:type="dxa" w:w="3600"/>
            <w:shd w:fill="FFFFFF"/>
          </w:tcPr>
          <w:p>
            <w:pPr>
              <w:spacing w:after="40"/>
            </w:pPr>
            <w:r>
              <w:rPr>
                <w:sz w:val="18"/>
              </w:rPr>
              <w:t>Location</w:t>
            </w:r>
          </w:p>
        </w:tc>
        <w:tc>
          <w:tcPr>
            <w:tcW w:type="dxa" w:w="5760"/>
            <w:shd w:fill="FFFFFF"/>
          </w:tcPr>
          <w:p>
            <w:pPr>
              <w:spacing w:after="40"/>
            </w:pPr>
            <w:r>
              <w:rPr>
                <w:sz w:val="18"/>
              </w:rPr>
              <w:t>Khadir Bet Island, Great Rann of Kutch, Bhachau Tehsil, Kutch District, Gujarat, India.</w:t>
            </w:r>
          </w:p>
        </w:tc>
        <w:tc>
          <w:tcPr>
            <w:tcW w:type="dxa" w:w="1728"/>
            <w:shd w:fill="FFFFFF"/>
          </w:tcPr>
          <w:p>
            <w:pPr>
              <w:spacing w:after="40"/>
            </w:pPr>
            <w:r>
              <w:rPr>
                <w:sz w:val="18"/>
              </w:rPr>
              <w:t>DHO-S001</w:t>
            </w:r>
          </w:p>
        </w:tc>
      </w:tr>
      <w:tr>
        <w:tc>
          <w:tcPr>
            <w:tcW w:type="dxa" w:w="3600"/>
            <w:shd w:fill="F1F5F9"/>
          </w:tcPr>
          <w:p>
            <w:pPr>
              <w:spacing w:after="40"/>
            </w:pPr>
            <w:r>
              <w:rPr>
                <w:sz w:val="18"/>
              </w:rPr>
              <w:t>Coordinates</w:t>
            </w:r>
          </w:p>
        </w:tc>
        <w:tc>
          <w:tcPr>
            <w:tcW w:type="dxa" w:w="5760"/>
            <w:shd w:fill="F1F5F9"/>
          </w:tcPr>
          <w:p>
            <w:pPr>
              <w:spacing w:after="40"/>
            </w:pPr>
            <w:r>
              <w:rPr>
                <w:sz w:val="18"/>
              </w:rPr>
              <w:t>23° 53' 10" N; 70° 13' 00" E</w:t>
            </w:r>
          </w:p>
        </w:tc>
        <w:tc>
          <w:tcPr>
            <w:tcW w:type="dxa" w:w="1728"/>
            <w:shd w:fill="F1F5F9"/>
          </w:tcPr>
          <w:p>
            <w:pPr>
              <w:spacing w:after="40"/>
            </w:pPr>
            <w:r>
              <w:rPr>
                <w:sz w:val="18"/>
              </w:rPr>
              <w:t>DHO-S001</w:t>
            </w:r>
          </w:p>
        </w:tc>
      </w:tr>
      <w:tr>
        <w:tc>
          <w:tcPr>
            <w:tcW w:type="dxa" w:w="3600"/>
            <w:shd w:fill="FFFFFF"/>
          </w:tcPr>
          <w:p>
            <w:pPr>
              <w:spacing w:after="40"/>
            </w:pPr>
            <w:r>
              <w:rPr>
                <w:sz w:val="18"/>
              </w:rPr>
              <w:t>Total Area (Fortified)</w:t>
            </w:r>
          </w:p>
        </w:tc>
        <w:tc>
          <w:tcPr>
            <w:tcW w:type="dxa" w:w="5760"/>
            <w:shd w:fill="FFFFFF"/>
          </w:tcPr>
          <w:p>
            <w:pPr>
              <w:spacing w:after="40"/>
            </w:pPr>
            <w:r>
              <w:rPr>
                <w:sz w:val="18"/>
              </w:rPr>
              <w:t>~47 hectares (116 acres)</w:t>
            </w:r>
          </w:p>
        </w:tc>
        <w:tc>
          <w:tcPr>
            <w:tcW w:type="dxa" w:w="1728"/>
            <w:shd w:fill="FFFFFF"/>
          </w:tcPr>
          <w:p>
            <w:pPr>
              <w:spacing w:after="40"/>
            </w:pPr>
            <w:r>
              <w:rPr>
                <w:sz w:val="18"/>
              </w:rPr>
              <w:t>DHO-S001</w:t>
            </w:r>
          </w:p>
        </w:tc>
      </w:tr>
      <w:tr>
        <w:tc>
          <w:tcPr>
            <w:tcW w:type="dxa" w:w="3600"/>
            <w:shd w:fill="F1F5F9"/>
          </w:tcPr>
          <w:p>
            <w:pPr>
              <w:spacing w:after="40"/>
            </w:pPr>
            <w:r>
              <w:rPr>
                <w:sz w:val="18"/>
              </w:rPr>
              <w:t>Cultural Affiliation</w:t>
            </w:r>
          </w:p>
        </w:tc>
        <w:tc>
          <w:tcPr>
            <w:tcW w:type="dxa" w:w="5760"/>
            <w:shd w:fill="F1F5F9"/>
          </w:tcPr>
          <w:p>
            <w:pPr>
              <w:spacing w:after="40"/>
            </w:pPr>
            <w:r>
              <w:rPr>
                <w:sz w:val="18"/>
              </w:rPr>
              <w:t>Indus Valley (Harappan) Civilization</w:t>
            </w:r>
          </w:p>
        </w:tc>
        <w:tc>
          <w:tcPr>
            <w:tcW w:type="dxa" w:w="1728"/>
            <w:shd w:fill="F1F5F9"/>
          </w:tcPr>
          <w:p>
            <w:pPr>
              <w:spacing w:after="40"/>
            </w:pPr>
            <w:r>
              <w:rPr>
                <w:sz w:val="18"/>
              </w:rPr>
              <w:t>DHO-S001</w:t>
            </w:r>
          </w:p>
        </w:tc>
      </w:tr>
      <w:tr>
        <w:tc>
          <w:tcPr>
            <w:tcW w:type="dxa" w:w="3600"/>
            <w:shd w:fill="FFFFFF"/>
          </w:tcPr>
          <w:p>
            <w:pPr>
              <w:spacing w:after="40"/>
            </w:pPr>
            <w:r>
              <w:rPr>
                <w:sz w:val="18"/>
              </w:rPr>
              <w:t>Occupation Period</w:t>
            </w:r>
          </w:p>
        </w:tc>
        <w:tc>
          <w:tcPr>
            <w:tcW w:type="dxa" w:w="5760"/>
            <w:shd w:fill="FFFFFF"/>
          </w:tcPr>
          <w:p>
            <w:pPr>
              <w:spacing w:after="40"/>
            </w:pPr>
            <w:r>
              <w:rPr>
                <w:sz w:val="18"/>
              </w:rPr>
              <w:t>c. 2650 BCE to 1450 BCE (1,200 years; 7 Cultural Stages)</w:t>
            </w:r>
          </w:p>
        </w:tc>
        <w:tc>
          <w:tcPr>
            <w:tcW w:type="dxa" w:w="1728"/>
            <w:shd w:fill="FFFFFF"/>
          </w:tcPr>
          <w:p>
            <w:pPr>
              <w:spacing w:after="40"/>
            </w:pPr>
            <w:r>
              <w:rPr>
                <w:sz w:val="18"/>
              </w:rPr>
              <w:t>DHO-S001</w:t>
            </w:r>
          </w:p>
        </w:tc>
      </w:tr>
      <w:tr>
        <w:tc>
          <w:tcPr>
            <w:tcW w:type="dxa" w:w="3600"/>
            <w:shd w:fill="F1F5F9"/>
          </w:tcPr>
          <w:p>
            <w:pPr>
              <w:spacing w:after="40"/>
            </w:pPr>
            <w:r>
              <w:rPr>
                <w:sz w:val="18"/>
              </w:rPr>
              <w:t>Discovery</w:t>
            </w:r>
          </w:p>
        </w:tc>
        <w:tc>
          <w:tcPr>
            <w:tcW w:type="dxa" w:w="5760"/>
            <w:shd w:fill="F1F5F9"/>
          </w:tcPr>
          <w:p>
            <w:pPr>
              <w:spacing w:after="40"/>
            </w:pPr>
            <w:r>
              <w:rPr>
                <w:sz w:val="18"/>
              </w:rPr>
              <w:t>J.P. Joshi, ASI, 1967–68</w:t>
            </w:r>
          </w:p>
        </w:tc>
        <w:tc>
          <w:tcPr>
            <w:tcW w:type="dxa" w:w="1728"/>
            <w:shd w:fill="F1F5F9"/>
          </w:tcPr>
          <w:p>
            <w:pPr>
              <w:spacing w:after="40"/>
            </w:pPr>
            <w:r>
              <w:rPr>
                <w:sz w:val="18"/>
              </w:rPr>
              <w:t>DHO-S001</w:t>
            </w:r>
          </w:p>
        </w:tc>
      </w:tr>
      <w:tr>
        <w:tc>
          <w:tcPr>
            <w:tcW w:type="dxa" w:w="3600"/>
            <w:shd w:fill="FFFFFF"/>
          </w:tcPr>
          <w:p>
            <w:pPr>
              <w:spacing w:after="40"/>
            </w:pPr>
            <w:r>
              <w:rPr>
                <w:sz w:val="18"/>
              </w:rPr>
              <w:t>Principal Excavator</w:t>
            </w:r>
          </w:p>
        </w:tc>
        <w:tc>
          <w:tcPr>
            <w:tcW w:type="dxa" w:w="5760"/>
            <w:shd w:fill="FFFFFF"/>
          </w:tcPr>
          <w:p>
            <w:pPr>
              <w:spacing w:after="40"/>
            </w:pPr>
            <w:r>
              <w:rPr>
                <w:sz w:val="18"/>
              </w:rPr>
              <w:t>Dr. R.S. Bisht, ASI (13 seasons: 1989–2005)</w:t>
            </w:r>
          </w:p>
        </w:tc>
        <w:tc>
          <w:tcPr>
            <w:tcW w:type="dxa" w:w="1728"/>
            <w:shd w:fill="FFFFFF"/>
          </w:tcPr>
          <w:p>
            <w:pPr>
              <w:spacing w:after="40"/>
            </w:pPr>
            <w:r>
              <w:rPr>
                <w:sz w:val="18"/>
              </w:rPr>
              <w:t>DHO-S001</w:t>
            </w:r>
          </w:p>
        </w:tc>
      </w:tr>
    </w:tbl>
    <w:p>
      <w:pPr>
        <w:spacing w:after="120"/>
      </w:pPr>
    </w:p>
    <w:p>
      <w:pPr>
        <w:spacing w:before="280" w:after="120"/>
      </w:pPr>
      <w:r>
        <w:rPr>
          <w:rFonts w:ascii="Arial" w:hAnsi="Arial"/>
          <w:b/>
          <w:color w:val="B91C1C"/>
          <w:sz w:val="30"/>
        </w:rPr>
        <w:t>PART II: GEOGRAPHY &amp; ENVIRONMENT</w:t>
      </w:r>
    </w:p>
    <w:p>
      <w:pPr>
        <w:spacing w:after="120" w:line="276" w:lineRule="auto"/>
      </w:pPr>
      <w:r>
        <w:rPr>
          <w:i w:val="0"/>
        </w:rPr>
        <w:t>Dholavira occupies Khadir Bet, a natural elevated plateau island rising from the saline mudflats of the Great Rann of Kutch in Gujarat's hyper-arid western frontier. The Rann was a partially navigable sea inlet or tidal gulf during the Bronze Age (c. 2500 BCE), giving Dholavira direct maritime access to the Arabian Sea and facilitating its role as an international trade hub [Source: DHO-S001, DHO-S007].</w:t>
      </w:r>
    </w:p>
    <w:p>
      <w:pPr>
        <w:pStyle w:val="ListBullet"/>
        <w:spacing w:after="80" w:line="276" w:lineRule="auto"/>
      </w:pPr>
      <w:r>
        <w:rPr>
          <w:b/>
          <w:color w:val="1E3A8A"/>
        </w:rPr>
        <w:t xml:space="preserve">Climate &amp; Hydrology: </w:t>
      </w:r>
      <w:r>
        <w:t>Hot arid climate with erratic monsoon rainfall (~300 mm/year). Two seasonal streams — Manhar (south) and Mansar (north) — provided the only reliable annual water inflow.</w:t>
      </w:r>
    </w:p>
    <w:p>
      <w:pPr>
        <w:pStyle w:val="ListBullet"/>
        <w:spacing w:after="80" w:line="276" w:lineRule="auto"/>
      </w:pPr>
      <w:r>
        <w:rPr>
          <w:b/>
          <w:color w:val="1E3A8A"/>
        </w:rPr>
        <w:t xml:space="preserve">Local Geological Resources: </w:t>
      </w:r>
      <w:r>
        <w:t>Rich local geology: calcareous sandstone (miliolite limestone), pink sandstone, limestone, chert, gypsum — all used in Dholavira's construction and craft industries.</w:t>
      </w:r>
    </w:p>
    <w:p>
      <w:pPr>
        <w:spacing w:before="280" w:after="120"/>
      </w:pPr>
      <w:r>
        <w:rPr>
          <w:rFonts w:ascii="Arial" w:hAnsi="Arial"/>
          <w:b/>
          <w:color w:val="B91C1C"/>
          <w:sz w:val="30"/>
        </w:rPr>
        <w:t>PART III: OCCUPATIONAL STAGES — THE SEVEN CULTURAL PHASES</w:t>
      </w:r>
    </w:p>
    <w:tbl>
      <w:tblPr>
        <w:tblW w:type="auto" w:w="0"/>
        <w:jc w:val="center"/>
        <w:tblLook w:firstColumn="1" w:firstRow="1" w:lastColumn="0" w:lastRow="0" w:noHBand="0" w:noVBand="1" w:val="04A0"/>
      </w:tblPr>
      <w:tblGrid>
        <w:gridCol w:w="2340"/>
        <w:gridCol w:w="2340"/>
        <w:gridCol w:w="2340"/>
        <w:gridCol w:w="2340"/>
      </w:tblGrid>
      <w:tr>
        <w:tc>
          <w:tcPr>
            <w:tcW w:type="dxa" w:w="1152"/>
            <w:shd w:fill="1E3A8A"/>
          </w:tcPr>
          <w:p>
            <w:pPr>
              <w:spacing w:after="40"/>
              <w:jc w:val="left"/>
            </w:pPr>
            <w:r>
              <w:rPr>
                <w:rFonts w:ascii="Arial" w:hAnsi="Arial"/>
                <w:b/>
                <w:color w:val="FFFFFF"/>
                <w:sz w:val="19"/>
              </w:rPr>
              <w:t>Stage</w:t>
            </w:r>
          </w:p>
        </w:tc>
        <w:tc>
          <w:tcPr>
            <w:tcW w:type="dxa" w:w="1728"/>
            <w:shd w:fill="1E3A8A"/>
          </w:tcPr>
          <w:p>
            <w:pPr>
              <w:spacing w:after="40"/>
              <w:jc w:val="left"/>
            </w:pPr>
            <w:r>
              <w:rPr>
                <w:rFonts w:ascii="Arial" w:hAnsi="Arial"/>
                <w:b/>
                <w:color w:val="FFFFFF"/>
                <w:sz w:val="19"/>
              </w:rPr>
              <w:t>Dates (BCE)</w:t>
            </w:r>
          </w:p>
        </w:tc>
        <w:tc>
          <w:tcPr>
            <w:tcW w:type="dxa" w:w="3168"/>
            <w:shd w:fill="1E3A8A"/>
          </w:tcPr>
          <w:p>
            <w:pPr>
              <w:spacing w:after="40"/>
              <w:jc w:val="left"/>
            </w:pPr>
            <w:r>
              <w:rPr>
                <w:rFonts w:ascii="Arial" w:hAnsi="Arial"/>
                <w:b/>
                <w:color w:val="FFFFFF"/>
                <w:sz w:val="19"/>
              </w:rPr>
              <w:t>Phase</w:t>
            </w:r>
          </w:p>
        </w:tc>
        <w:tc>
          <w:tcPr>
            <w:tcW w:type="dxa" w:w="5760"/>
            <w:shd w:fill="1E3A8A"/>
          </w:tcPr>
          <w:p>
            <w:pPr>
              <w:spacing w:after="40"/>
              <w:jc w:val="left"/>
            </w:pPr>
            <w:r>
              <w:rPr>
                <w:rFonts w:ascii="Arial" w:hAnsi="Arial"/>
                <w:b/>
                <w:color w:val="FFFFFF"/>
                <w:sz w:val="19"/>
              </w:rPr>
              <w:t>Key Developments</w:t>
            </w:r>
          </w:p>
        </w:tc>
      </w:tr>
      <w:tr>
        <w:tc>
          <w:tcPr>
            <w:tcW w:type="dxa" w:w="1152"/>
            <w:shd w:fill="FFFFFF"/>
          </w:tcPr>
          <w:p>
            <w:pPr>
              <w:spacing w:after="40"/>
            </w:pPr>
            <w:r>
              <w:rPr>
                <w:sz w:val="18"/>
              </w:rPr>
              <w:t>I</w:t>
            </w:r>
          </w:p>
        </w:tc>
        <w:tc>
          <w:tcPr>
            <w:tcW w:type="dxa" w:w="1728"/>
            <w:shd w:fill="FFFFFF"/>
          </w:tcPr>
          <w:p>
            <w:pPr>
              <w:spacing w:after="40"/>
            </w:pPr>
            <w:r>
              <w:rPr>
                <w:sz w:val="18"/>
              </w:rPr>
              <w:t>2650–2550</w:t>
            </w:r>
          </w:p>
        </w:tc>
        <w:tc>
          <w:tcPr>
            <w:tcW w:type="dxa" w:w="3168"/>
            <w:shd w:fill="FFFFFF"/>
          </w:tcPr>
          <w:p>
            <w:pPr>
              <w:spacing w:after="40"/>
            </w:pPr>
            <w:r>
              <w:rPr>
                <w:sz w:val="18"/>
              </w:rPr>
              <w:t>Early Harappan Transition A</w:t>
            </w:r>
          </w:p>
        </w:tc>
        <w:tc>
          <w:tcPr>
            <w:tcW w:type="dxa" w:w="5760"/>
            <w:shd w:fill="FFFFFF"/>
          </w:tcPr>
          <w:p>
            <w:pPr>
              <w:spacing w:after="40"/>
            </w:pPr>
            <w:r>
              <w:rPr>
                <w:sz w:val="18"/>
              </w:rPr>
              <w:t>First Citadel fortification; wheel-made pottery; mud-brick houses.</w:t>
            </w:r>
          </w:p>
        </w:tc>
      </w:tr>
      <w:tr>
        <w:tc>
          <w:tcPr>
            <w:tcW w:type="dxa" w:w="1152"/>
            <w:shd w:fill="F1F5F9"/>
          </w:tcPr>
          <w:p>
            <w:pPr>
              <w:spacing w:after="40"/>
            </w:pPr>
            <w:r>
              <w:rPr>
                <w:sz w:val="18"/>
              </w:rPr>
              <w:t>II</w:t>
            </w:r>
          </w:p>
        </w:tc>
        <w:tc>
          <w:tcPr>
            <w:tcW w:type="dxa" w:w="1728"/>
            <w:shd w:fill="F1F5F9"/>
          </w:tcPr>
          <w:p>
            <w:pPr>
              <w:spacing w:after="40"/>
            </w:pPr>
            <w:r>
              <w:rPr>
                <w:sz w:val="18"/>
              </w:rPr>
              <w:t>2550–2500</w:t>
            </w:r>
          </w:p>
        </w:tc>
        <w:tc>
          <w:tcPr>
            <w:tcW w:type="dxa" w:w="3168"/>
            <w:shd w:fill="F1F5F9"/>
          </w:tcPr>
          <w:p>
            <w:pPr>
              <w:spacing w:after="40"/>
            </w:pPr>
            <w:r>
              <w:rPr>
                <w:sz w:val="18"/>
              </w:rPr>
              <w:t>Early Harappan Transition B</w:t>
            </w:r>
          </w:p>
        </w:tc>
        <w:tc>
          <w:tcPr>
            <w:tcW w:type="dxa" w:w="5760"/>
            <w:shd w:fill="F1F5F9"/>
          </w:tcPr>
          <w:p>
            <w:pPr>
              <w:spacing w:after="40"/>
            </w:pPr>
            <w:r>
              <w:rPr>
                <w:sz w:val="18"/>
              </w:rPr>
              <w:t>Stone masonry veneer on walls; significant city expansion.</w:t>
            </w:r>
          </w:p>
        </w:tc>
      </w:tr>
      <w:tr>
        <w:tc>
          <w:tcPr>
            <w:tcW w:type="dxa" w:w="1152"/>
            <w:shd w:fill="FFFFFF"/>
          </w:tcPr>
          <w:p>
            <w:pPr>
              <w:spacing w:after="40"/>
            </w:pPr>
            <w:r>
              <w:rPr>
                <w:sz w:val="18"/>
              </w:rPr>
              <w:t>III</w:t>
            </w:r>
          </w:p>
        </w:tc>
        <w:tc>
          <w:tcPr>
            <w:tcW w:type="dxa" w:w="1728"/>
            <w:shd w:fill="FFFFFF"/>
          </w:tcPr>
          <w:p>
            <w:pPr>
              <w:spacing w:after="40"/>
            </w:pPr>
            <w:r>
              <w:rPr>
                <w:sz w:val="18"/>
              </w:rPr>
              <w:t>2500–2200</w:t>
            </w:r>
          </w:p>
        </w:tc>
        <w:tc>
          <w:tcPr>
            <w:tcW w:type="dxa" w:w="3168"/>
            <w:shd w:fill="FFFFFF"/>
          </w:tcPr>
          <w:p>
            <w:pPr>
              <w:spacing w:after="40"/>
            </w:pPr>
            <w:r>
              <w:rPr>
                <w:sz w:val="18"/>
              </w:rPr>
              <w:t>Mature Harappan A (PEAK)</w:t>
            </w:r>
          </w:p>
        </w:tc>
        <w:tc>
          <w:tcPr>
            <w:tcW w:type="dxa" w:w="5760"/>
            <w:shd w:fill="FFFFFF"/>
          </w:tcPr>
          <w:p>
            <w:pPr>
              <w:spacing w:after="40"/>
            </w:pPr>
            <w:r>
              <w:rPr>
                <w:sz w:val="18"/>
              </w:rPr>
              <w:t>Tripartite city: Citadel, Middle Town, Lower Town, Stadium, 16 Reservoirs.</w:t>
            </w:r>
          </w:p>
        </w:tc>
      </w:tr>
      <w:tr>
        <w:tc>
          <w:tcPr>
            <w:tcW w:type="dxa" w:w="1152"/>
            <w:shd w:fill="F1F5F9"/>
          </w:tcPr>
          <w:p>
            <w:pPr>
              <w:spacing w:after="40"/>
            </w:pPr>
            <w:r>
              <w:rPr>
                <w:sz w:val="18"/>
              </w:rPr>
              <w:t>IV</w:t>
            </w:r>
          </w:p>
        </w:tc>
        <w:tc>
          <w:tcPr>
            <w:tcW w:type="dxa" w:w="1728"/>
            <w:shd w:fill="F1F5F9"/>
          </w:tcPr>
          <w:p>
            <w:pPr>
              <w:spacing w:after="40"/>
            </w:pPr>
            <w:r>
              <w:rPr>
                <w:sz w:val="18"/>
              </w:rPr>
              <w:t>2200–2000</w:t>
            </w:r>
          </w:p>
        </w:tc>
        <w:tc>
          <w:tcPr>
            <w:tcW w:type="dxa" w:w="3168"/>
            <w:shd w:fill="F1F5F9"/>
          </w:tcPr>
          <w:p>
            <w:pPr>
              <w:spacing w:after="40"/>
            </w:pPr>
            <w:r>
              <w:rPr>
                <w:sz w:val="18"/>
              </w:rPr>
              <w:t>Mature Harappan B</w:t>
            </w:r>
          </w:p>
        </w:tc>
        <w:tc>
          <w:tcPr>
            <w:tcW w:type="dxa" w:w="5760"/>
            <w:shd w:fill="F1F5F9"/>
          </w:tcPr>
          <w:p>
            <w:pPr>
              <w:spacing w:after="40"/>
            </w:pPr>
            <w:r>
              <w:rPr>
                <w:sz w:val="18"/>
              </w:rPr>
              <w:t>Full urban maintenance; 10-sign Signboard erected at North Gate.</w:t>
            </w:r>
          </w:p>
        </w:tc>
      </w:tr>
      <w:tr>
        <w:tc>
          <w:tcPr>
            <w:tcW w:type="dxa" w:w="1152"/>
            <w:shd w:fill="FFFFFF"/>
          </w:tcPr>
          <w:p>
            <w:pPr>
              <w:spacing w:after="40"/>
            </w:pPr>
            <w:r>
              <w:rPr>
                <w:sz w:val="18"/>
              </w:rPr>
              <w:t>V</w:t>
            </w:r>
          </w:p>
        </w:tc>
        <w:tc>
          <w:tcPr>
            <w:tcW w:type="dxa" w:w="1728"/>
            <w:shd w:fill="FFFFFF"/>
          </w:tcPr>
          <w:p>
            <w:pPr>
              <w:spacing w:after="40"/>
            </w:pPr>
            <w:r>
              <w:rPr>
                <w:sz w:val="18"/>
              </w:rPr>
              <w:t>2000–1900</w:t>
            </w:r>
          </w:p>
        </w:tc>
        <w:tc>
          <w:tcPr>
            <w:tcW w:type="dxa" w:w="3168"/>
            <w:shd w:fill="FFFFFF"/>
          </w:tcPr>
          <w:p>
            <w:pPr>
              <w:spacing w:after="40"/>
            </w:pPr>
            <w:r>
              <w:rPr>
                <w:sz w:val="18"/>
              </w:rPr>
              <w:t>Mature Harappan C (Decline)</w:t>
            </w:r>
          </w:p>
        </w:tc>
        <w:tc>
          <w:tcPr>
            <w:tcW w:type="dxa" w:w="5760"/>
            <w:shd w:fill="FFFFFF"/>
          </w:tcPr>
          <w:p>
            <w:pPr>
              <w:spacing w:after="40"/>
            </w:pPr>
            <w:r>
              <w:rPr>
                <w:sz w:val="18"/>
              </w:rPr>
              <w:t>4.2 kya climate stress; drain decay; first partial desertion.</w:t>
            </w:r>
          </w:p>
        </w:tc>
      </w:tr>
      <w:tr>
        <w:tc>
          <w:tcPr>
            <w:tcW w:type="dxa" w:w="1152"/>
            <w:shd w:fill="F1F5F9"/>
          </w:tcPr>
          <w:p>
            <w:pPr>
              <w:spacing w:after="40"/>
            </w:pPr>
            <w:r>
              <w:rPr>
                <w:sz w:val="18"/>
              </w:rPr>
              <w:t>VI</w:t>
            </w:r>
          </w:p>
        </w:tc>
        <w:tc>
          <w:tcPr>
            <w:tcW w:type="dxa" w:w="1728"/>
            <w:shd w:fill="F1F5F9"/>
          </w:tcPr>
          <w:p>
            <w:pPr>
              <w:spacing w:after="40"/>
            </w:pPr>
            <w:r>
              <w:rPr>
                <w:sz w:val="18"/>
              </w:rPr>
              <w:t>1850–1750</w:t>
            </w:r>
          </w:p>
        </w:tc>
        <w:tc>
          <w:tcPr>
            <w:tcW w:type="dxa" w:w="3168"/>
            <w:shd w:fill="F1F5F9"/>
          </w:tcPr>
          <w:p>
            <w:pPr>
              <w:spacing w:after="40"/>
            </w:pPr>
            <w:r>
              <w:rPr>
                <w:sz w:val="18"/>
              </w:rPr>
              <w:t>Post-Urban Harappan A</w:t>
            </w:r>
          </w:p>
        </w:tc>
        <w:tc>
          <w:tcPr>
            <w:tcW w:type="dxa" w:w="5760"/>
            <w:shd w:fill="F1F5F9"/>
          </w:tcPr>
          <w:p>
            <w:pPr>
              <w:spacing w:after="40"/>
            </w:pPr>
            <w:r>
              <w:rPr>
                <w:sz w:val="18"/>
              </w:rPr>
              <w:t>Re-occupation: circular bunga huts; Jhukar-type ceramics.</w:t>
            </w:r>
          </w:p>
        </w:tc>
      </w:tr>
      <w:tr>
        <w:tc>
          <w:tcPr>
            <w:tcW w:type="dxa" w:w="1152"/>
            <w:shd w:fill="FFFFFF"/>
          </w:tcPr>
          <w:p>
            <w:pPr>
              <w:spacing w:after="40"/>
            </w:pPr>
            <w:r>
              <w:rPr>
                <w:sz w:val="18"/>
              </w:rPr>
              <w:t>VII</w:t>
            </w:r>
          </w:p>
        </w:tc>
        <w:tc>
          <w:tcPr>
            <w:tcW w:type="dxa" w:w="1728"/>
            <w:shd w:fill="FFFFFF"/>
          </w:tcPr>
          <w:p>
            <w:pPr>
              <w:spacing w:after="40"/>
            </w:pPr>
            <w:r>
              <w:rPr>
                <w:sz w:val="18"/>
              </w:rPr>
              <w:t>1650–1450</w:t>
            </w:r>
          </w:p>
        </w:tc>
        <w:tc>
          <w:tcPr>
            <w:tcW w:type="dxa" w:w="3168"/>
            <w:shd w:fill="FFFFFF"/>
          </w:tcPr>
          <w:p>
            <w:pPr>
              <w:spacing w:after="40"/>
            </w:pPr>
            <w:r>
              <w:rPr>
                <w:sz w:val="18"/>
              </w:rPr>
              <w:t>Post-Urban Harappan B</w:t>
            </w:r>
          </w:p>
        </w:tc>
        <w:tc>
          <w:tcPr>
            <w:tcW w:type="dxa" w:w="5760"/>
            <w:shd w:fill="FFFFFF"/>
          </w:tcPr>
          <w:p>
            <w:pPr>
              <w:spacing w:after="40"/>
            </w:pPr>
            <w:r>
              <w:rPr>
                <w:sz w:val="18"/>
              </w:rPr>
              <w:t>Final squatter occupation; complete absence of city planning; permanent abandonment.</w:t>
            </w:r>
          </w:p>
        </w:tc>
      </w:tr>
    </w:tbl>
    <w:p>
      <w:pPr>
        <w:spacing w:after="120"/>
      </w:pPr>
    </w:p>
    <w:p>
      <w:pPr>
        <w:spacing w:before="280" w:after="120"/>
      </w:pPr>
      <w:r>
        <w:rPr>
          <w:rFonts w:ascii="Arial" w:hAnsi="Arial"/>
          <w:b/>
          <w:color w:val="B91C1C"/>
          <w:sz w:val="30"/>
        </w:rPr>
        <w:t>PART IV: URBAN PLANNING — THE TRIPARTITE CITY</w:t>
      </w:r>
    </w:p>
    <w:p>
      <w:pPr>
        <w:spacing w:after="120" w:line="276" w:lineRule="auto"/>
      </w:pPr>
      <w:r>
        <w:rPr>
          <w:i w:val="0"/>
        </w:rPr>
        <w:t>Dholavira's urban footprint measures 771 m × 616 m (ratio 5:4) — laid out as a precise geometric rectangle divided into four principal zones [Source: DHO-S001, DHO-S002]:</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Zone</w:t>
            </w:r>
          </w:p>
        </w:tc>
        <w:tc>
          <w:tcPr>
            <w:tcW w:type="dxa" w:w="2160"/>
            <w:shd w:fill="1E3A8A"/>
          </w:tcPr>
          <w:p>
            <w:pPr>
              <w:spacing w:after="40"/>
              <w:jc w:val="left"/>
            </w:pPr>
            <w:r>
              <w:rPr>
                <w:rFonts w:ascii="Arial" w:hAnsi="Arial"/>
                <w:b/>
                <w:color w:val="FFFFFF"/>
                <w:sz w:val="19"/>
              </w:rPr>
              <w:t>Dimensions</w:t>
            </w:r>
          </w:p>
        </w:tc>
        <w:tc>
          <w:tcPr>
            <w:tcW w:type="dxa" w:w="2592"/>
            <w:shd w:fill="1E3A8A"/>
          </w:tcPr>
          <w:p>
            <w:pPr>
              <w:spacing w:after="40"/>
              <w:jc w:val="left"/>
            </w:pPr>
            <w:r>
              <w:rPr>
                <w:rFonts w:ascii="Arial" w:hAnsi="Arial"/>
                <w:b/>
                <w:color w:val="FFFFFF"/>
                <w:sz w:val="19"/>
              </w:rPr>
              <w:t>Occupants</w:t>
            </w:r>
          </w:p>
        </w:tc>
        <w:tc>
          <w:tcPr>
            <w:tcW w:type="dxa" w:w="4464"/>
            <w:shd w:fill="1E3A8A"/>
          </w:tcPr>
          <w:p>
            <w:pPr>
              <w:spacing w:after="40"/>
              <w:jc w:val="left"/>
            </w:pPr>
            <w:r>
              <w:rPr>
                <w:rFonts w:ascii="Arial" w:hAnsi="Arial"/>
                <w:b/>
                <w:color w:val="FFFFFF"/>
                <w:sz w:val="19"/>
              </w:rPr>
              <w:t>Key Features</w:t>
            </w:r>
          </w:p>
        </w:tc>
      </w:tr>
      <w:tr>
        <w:tc>
          <w:tcPr>
            <w:tcW w:type="dxa" w:w="2592"/>
            <w:shd w:fill="FFFFFF"/>
          </w:tcPr>
          <w:p>
            <w:pPr>
              <w:spacing w:after="40"/>
            </w:pPr>
            <w:r>
              <w:rPr>
                <w:sz w:val="18"/>
              </w:rPr>
              <w:t>Citadel (Castle + Bailey)</w:t>
            </w:r>
          </w:p>
        </w:tc>
        <w:tc>
          <w:tcPr>
            <w:tcW w:type="dxa" w:w="2160"/>
            <w:shd w:fill="FFFFFF"/>
          </w:tcPr>
          <w:p>
            <w:pPr>
              <w:spacing w:after="40"/>
            </w:pPr>
            <w:r>
              <w:rPr>
                <w:sz w:val="18"/>
              </w:rPr>
              <w:t>300 m × 140 m (elevated).</w:t>
            </w:r>
          </w:p>
        </w:tc>
        <w:tc>
          <w:tcPr>
            <w:tcW w:type="dxa" w:w="2592"/>
            <w:shd w:fill="FFFFFF"/>
          </w:tcPr>
          <w:p>
            <w:pPr>
              <w:spacing w:after="40"/>
            </w:pPr>
            <w:r>
              <w:rPr>
                <w:sz w:val="18"/>
              </w:rPr>
              <w:t>Ruling elite, administrators, garrison.</w:t>
            </w:r>
          </w:p>
        </w:tc>
        <w:tc>
          <w:tcPr>
            <w:tcW w:type="dxa" w:w="4464"/>
            <w:shd w:fill="FFFFFF"/>
          </w:tcPr>
          <w:p>
            <w:pPr>
              <w:spacing w:after="40"/>
            </w:pPr>
            <w:r>
              <w:rPr>
                <w:sz w:val="18"/>
              </w:rPr>
              <w:t>Fortified stone walls 15–18 m thick; Castle North Gate (Signboard location); Bailey administrative wing.</w:t>
            </w:r>
          </w:p>
        </w:tc>
      </w:tr>
      <w:tr>
        <w:tc>
          <w:tcPr>
            <w:tcW w:type="dxa" w:w="2592"/>
            <w:shd w:fill="F1F5F9"/>
          </w:tcPr>
          <w:p>
            <w:pPr>
              <w:spacing w:after="40"/>
            </w:pPr>
            <w:r>
              <w:rPr>
                <w:sz w:val="18"/>
              </w:rPr>
              <w:t>Ceremonial Stadium</w:t>
            </w:r>
          </w:p>
        </w:tc>
        <w:tc>
          <w:tcPr>
            <w:tcW w:type="dxa" w:w="2160"/>
            <w:shd w:fill="F1F5F9"/>
          </w:tcPr>
          <w:p>
            <w:pPr>
              <w:spacing w:after="40"/>
            </w:pPr>
            <w:r>
              <w:rPr>
                <w:sz w:val="18"/>
              </w:rPr>
              <w:t>283 m × 47 m.</w:t>
            </w:r>
          </w:p>
        </w:tc>
        <w:tc>
          <w:tcPr>
            <w:tcW w:type="dxa" w:w="2592"/>
            <w:shd w:fill="F1F5F9"/>
          </w:tcPr>
          <w:p>
            <w:pPr>
              <w:spacing w:after="40"/>
            </w:pPr>
            <w:r>
              <w:rPr>
                <w:sz w:val="18"/>
              </w:rPr>
              <w:t>Civic gatherings, public ceremonies.</w:t>
            </w:r>
          </w:p>
        </w:tc>
        <w:tc>
          <w:tcPr>
            <w:tcW w:type="dxa" w:w="4464"/>
            <w:shd w:fill="F1F5F9"/>
          </w:tcPr>
          <w:p>
            <w:pPr>
              <w:spacing w:after="40"/>
            </w:pPr>
            <w:r>
              <w:rPr>
                <w:sz w:val="18"/>
              </w:rPr>
              <w:t>Terraced stone embankments both sides; opens to Citadel North Gate and Middle Town South Gate.</w:t>
            </w:r>
          </w:p>
        </w:tc>
      </w:tr>
      <w:tr>
        <w:tc>
          <w:tcPr>
            <w:tcW w:type="dxa" w:w="2592"/>
            <w:shd w:fill="FFFFFF"/>
          </w:tcPr>
          <w:p>
            <w:pPr>
              <w:spacing w:after="40"/>
            </w:pPr>
            <w:r>
              <w:rPr>
                <w:sz w:val="18"/>
              </w:rPr>
              <w:t>Middle Town</w:t>
            </w:r>
          </w:p>
        </w:tc>
        <w:tc>
          <w:tcPr>
            <w:tcW w:type="dxa" w:w="2160"/>
            <w:shd w:fill="FFFFFF"/>
          </w:tcPr>
          <w:p>
            <w:pPr>
              <w:spacing w:after="40"/>
            </w:pPr>
            <w:r>
              <w:rPr>
                <w:sz w:val="18"/>
              </w:rPr>
              <w:t>340 m × 290 m.</w:t>
            </w:r>
          </w:p>
        </w:tc>
        <w:tc>
          <w:tcPr>
            <w:tcW w:type="dxa" w:w="2592"/>
            <w:shd w:fill="FFFFFF"/>
          </w:tcPr>
          <w:p>
            <w:pPr>
              <w:spacing w:after="40"/>
            </w:pPr>
            <w:r>
              <w:rPr>
                <w:sz w:val="18"/>
              </w:rPr>
              <w:t>Merchants, senior officials, artisans.</w:t>
            </w:r>
          </w:p>
        </w:tc>
        <w:tc>
          <w:tcPr>
            <w:tcW w:type="dxa" w:w="4464"/>
            <w:shd w:fill="FFFFFF"/>
          </w:tcPr>
          <w:p>
            <w:pPr>
              <w:spacing w:after="40"/>
            </w:pPr>
            <w:r>
              <w:rPr>
                <w:sz w:val="18"/>
              </w:rPr>
              <w:t>Orthogonal street grid; spacious multi-room courtyard houses; own fortification wall.</w:t>
            </w:r>
          </w:p>
        </w:tc>
      </w:tr>
      <w:tr>
        <w:tc>
          <w:tcPr>
            <w:tcW w:type="dxa" w:w="2592"/>
            <w:shd w:fill="F1F5F9"/>
          </w:tcPr>
          <w:p>
            <w:pPr>
              <w:spacing w:after="40"/>
            </w:pPr>
            <w:r>
              <w:rPr>
                <w:sz w:val="18"/>
              </w:rPr>
              <w:t>Lower Town</w:t>
            </w:r>
          </w:p>
        </w:tc>
        <w:tc>
          <w:tcPr>
            <w:tcW w:type="dxa" w:w="2160"/>
            <w:shd w:fill="F1F5F9"/>
          </w:tcPr>
          <w:p>
            <w:pPr>
              <w:spacing w:after="40"/>
            </w:pPr>
            <w:r>
              <w:rPr>
                <w:sz w:val="18"/>
              </w:rPr>
              <w:t>330 m × 300 m.</w:t>
            </w:r>
          </w:p>
        </w:tc>
        <w:tc>
          <w:tcPr>
            <w:tcW w:type="dxa" w:w="2592"/>
            <w:shd w:fill="F1F5F9"/>
          </w:tcPr>
          <w:p>
            <w:pPr>
              <w:spacing w:after="40"/>
            </w:pPr>
            <w:r>
              <w:rPr>
                <w:sz w:val="18"/>
              </w:rPr>
              <w:t>Craftworkers, laborers, populace.</w:t>
            </w:r>
          </w:p>
        </w:tc>
        <w:tc>
          <w:tcPr>
            <w:tcW w:type="dxa" w:w="4464"/>
            <w:shd w:fill="F1F5F9"/>
          </w:tcPr>
          <w:p>
            <w:pPr>
              <w:spacing w:after="40"/>
            </w:pPr>
            <w:r>
              <w:rPr>
                <w:sz w:val="18"/>
              </w:rPr>
              <w:t>Grid layout; bead manufacturing workshops; shell processing units; domestic drains.</w:t>
            </w:r>
          </w:p>
        </w:tc>
      </w:tr>
    </w:tbl>
    <w:p>
      <w:pPr>
        <w:spacing w:after="120"/>
      </w:pPr>
    </w:p>
    <w:p>
      <w:pPr>
        <w:spacing w:before="280" w:after="120"/>
      </w:pPr>
      <w:r>
        <w:rPr>
          <w:rFonts w:ascii="Arial" w:hAnsi="Arial"/>
          <w:b/>
          <w:color w:val="B91C1C"/>
          <w:sz w:val="30"/>
        </w:rPr>
        <w:t>PART V: WATER MANAGEMENT — THE WORLD'S PREMIER BRONZE AGE HYDRAULIC SYSTEM</w:t>
      </w:r>
    </w:p>
    <w:p>
      <w:pPr>
        <w:spacing w:after="120" w:line="276" w:lineRule="auto"/>
      </w:pPr>
      <w:r>
        <w:rPr>
          <w:i w:val="0"/>
        </w:rPr>
        <w:t>Facing hyper-arid conditions on a desert island, Dholavira's engineers developed the world's most sophisticated Bronze Age urban water harvesting system [Source: DHO-S001, DHO-S008]:</w:t>
      </w:r>
    </w:p>
    <w:p>
      <w:pPr>
        <w:pStyle w:val="ListBullet"/>
        <w:spacing w:after="80" w:line="276" w:lineRule="auto"/>
      </w:pPr>
      <w:r>
        <w:rPr>
          <w:b/>
          <w:color w:val="1E3A8A"/>
        </w:rPr>
        <w:t xml:space="preserve">Step 1 — Stream Damming: </w:t>
      </w:r>
      <w:r>
        <w:t>Two stone check dams built across the Manhar (south) and Mansar (north) seasonal monsoon streams captured flash flood water.</w:t>
      </w:r>
    </w:p>
    <w:p>
      <w:pPr>
        <w:pStyle w:val="ListBullet"/>
        <w:spacing w:after="80" w:line="276" w:lineRule="auto"/>
      </w:pPr>
      <w:r>
        <w:rPr>
          <w:b/>
          <w:color w:val="1E3A8A"/>
        </w:rPr>
        <w:t xml:space="preserve">Step 2 — Silt Settling: </w:t>
      </w:r>
      <w:r>
        <w:t>Water passed through settling tanks to drop silt before entering the main reservoir system.</w:t>
      </w:r>
    </w:p>
    <w:p>
      <w:pPr>
        <w:pStyle w:val="ListBullet"/>
        <w:spacing w:after="80" w:line="276" w:lineRule="auto"/>
      </w:pPr>
      <w:r>
        <w:rPr>
          <w:b/>
          <w:color w:val="1E3A8A"/>
        </w:rPr>
        <w:t xml:space="preserve">Step 3 — Storage in 16 Reservoirs: </w:t>
      </w:r>
      <w:r>
        <w:t>Sixteen massive stone-cut reservoirs surrounding the city perimeter stored 250,000 cubic meters of water — occupying 10% of the city's internal area.</w:t>
      </w:r>
    </w:p>
    <w:p>
      <w:pPr>
        <w:pStyle w:val="ListBullet"/>
        <w:spacing w:after="80" w:line="276" w:lineRule="auto"/>
      </w:pPr>
      <w:r>
        <w:rPr>
          <w:b/>
          <w:color w:val="1E3A8A"/>
        </w:rPr>
        <w:t xml:space="preserve">Step 4 — Distribution: </w:t>
      </w:r>
      <w:r>
        <w:t>Subterranean stone-lined channels distributed water from reservoirs to residential zones and flushed city drains.</w:t>
      </w:r>
    </w:p>
    <w:p>
      <w:pPr>
        <w:spacing w:after="120" w:line="276" w:lineRule="auto"/>
      </w:pPr>
      <w:r>
        <w:rPr>
          <w:b/>
          <w:color w:val="1E3A8A"/>
        </w:rPr>
        <w:t xml:space="preserve">Eastern Reservoir (Stepwell Prototype): </w:t>
      </w:r>
      <w:r>
        <w:rPr>
          <w:i w:val="0"/>
        </w:rPr>
        <w:t>The Eastern Reservoir (73.4 m × 29.3 m × 10 m deep; 31 rock-cut steps) is recognized as the world's earliest known prototype of a stepped well (vav/baoli) [Source: DHO-S001].</w:t>
      </w:r>
    </w:p>
    <w:p>
      <w:pPr>
        <w:spacing w:before="280" w:after="120"/>
      </w:pPr>
      <w:r>
        <w:rPr>
          <w:rFonts w:ascii="Arial" w:hAnsi="Arial"/>
          <w:b/>
          <w:color w:val="B91C1C"/>
          <w:sz w:val="30"/>
        </w:rPr>
        <w:t>PART VI: EPIGRAPHY — THE DHOLAVIRA SIGNBOARD</w:t>
      </w:r>
    </w:p>
    <w:p>
      <w:pPr>
        <w:spacing w:after="120" w:line="276" w:lineRule="auto"/>
      </w:pPr>
      <w:r>
        <w:rPr>
          <w:i w:val="0"/>
        </w:rPr>
        <w:t>The Dholavira Signboard is the longest known inscription in the undeciphered Indus script [Source: DHO-S006]:</w:t>
      </w:r>
    </w:p>
    <w:p>
      <w:pPr>
        <w:pStyle w:val="ListBullet"/>
        <w:spacing w:after="80" w:line="276" w:lineRule="auto"/>
      </w:pPr>
      <w:r>
        <w:rPr>
          <w:b/>
          <w:color w:val="1E3A8A"/>
        </w:rPr>
        <w:t xml:space="preserve">Scale: </w:t>
      </w:r>
      <w:r>
        <w:t>10 large Indus script symbols, each ~37 cm high and 25–27 cm wide.</w:t>
      </w:r>
    </w:p>
    <w:p>
      <w:pPr>
        <w:pStyle w:val="ListBullet"/>
        <w:spacing w:after="80" w:line="276" w:lineRule="auto"/>
      </w:pPr>
      <w:r>
        <w:rPr>
          <w:b/>
          <w:color w:val="1E3A8A"/>
        </w:rPr>
        <w:t xml:space="preserve">Material: </w:t>
      </w:r>
      <w:r>
        <w:t>Individually carved pieces of crystalline gypsum inlaid into a 3-meter wooden board.</w:t>
      </w:r>
    </w:p>
    <w:p>
      <w:pPr>
        <w:pStyle w:val="ListBullet"/>
        <w:spacing w:after="80" w:line="276" w:lineRule="auto"/>
      </w:pPr>
      <w:r>
        <w:rPr>
          <w:b/>
          <w:color w:val="1E3A8A"/>
        </w:rPr>
        <w:t xml:space="preserve">Location: </w:t>
      </w:r>
      <w:r>
        <w:t>Displayed over the Citadel Castle's North Gateway — Dholavira's most ceremonially prominent entrance.</w:t>
      </w:r>
    </w:p>
    <w:p>
      <w:pPr>
        <w:pStyle w:val="ListBullet"/>
        <w:spacing w:after="80" w:line="276" w:lineRule="auto"/>
      </w:pPr>
      <w:r>
        <w:rPr>
          <w:b/>
          <w:color w:val="1E3A8A"/>
        </w:rPr>
        <w:t xml:space="preserve">Meaning: </w:t>
      </w:r>
      <w:r>
        <w:t>Indus script remains undeciphered. The Signboard's meaning is unknown. Interpretations include: city name, royal title, divine proclamation, or civic motto.</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[EPIGRAPHY: CRITICAL NOTE ON DECIPHERMENT STATUS]</w:t>
              <w:br/>
            </w:r>
            <w:r>
              <w:rPr>
                <w:sz w:val="19"/>
              </w:rPr>
              <w:t>The Indus script has not been definitively deciphered as of this writing (2025). Any claimed 'translation' or 'reading' of the Dholavira Signboard is speculative. The platform must clearly communicate this to users.</w:t>
            </w:r>
          </w:p>
        </w:tc>
      </w:tr>
    </w:tbl>
    <w:p>
      <w:pPr>
        <w:spacing w:after="80"/>
      </w:pPr>
    </w:p>
    <w:p>
      <w:pPr>
        <w:spacing w:before="280" w:after="120"/>
      </w:pPr>
      <w:r>
        <w:rPr>
          <w:rFonts w:ascii="Arial" w:hAnsi="Arial"/>
          <w:b/>
          <w:color w:val="B91C1C"/>
          <w:sz w:val="30"/>
        </w:rPr>
        <w:t>PART VII: CRAFT INDUSTRIES &amp; TRADE</w:t>
      </w:r>
    </w:p>
    <w:tbl>
      <w:tblPr>
        <w:tblW w:type="auto" w:w="0"/>
        <w:jc w:val="center"/>
        <w:tblLook w:firstColumn="1" w:firstRow="1" w:lastColumn="0" w:lastRow="0" w:noHBand="0" w:noVBand="1" w:val="04A0"/>
      </w:tblPr>
      <w:tblGrid>
        <w:gridCol w:w="2340"/>
        <w:gridCol w:w="2340"/>
        <w:gridCol w:w="2340"/>
        <w:gridCol w:w="2340"/>
      </w:tblGrid>
      <w:tr>
        <w:tc>
          <w:tcPr>
            <w:tcW w:type="dxa" w:w="2880"/>
            <w:shd w:fill="1E3A8A"/>
          </w:tcPr>
          <w:p>
            <w:pPr>
              <w:spacing w:after="40"/>
              <w:jc w:val="left"/>
            </w:pPr>
            <w:r>
              <w:rPr>
                <w:rFonts w:ascii="Arial" w:hAnsi="Arial"/>
                <w:b/>
                <w:color w:val="FFFFFF"/>
                <w:sz w:val="19"/>
              </w:rPr>
              <w:t>Industry / Commodity</w:t>
            </w:r>
          </w:p>
        </w:tc>
        <w:tc>
          <w:tcPr>
            <w:tcW w:type="dxa" w:w="3168"/>
            <w:shd w:fill="1E3A8A"/>
          </w:tcPr>
          <w:p>
            <w:pPr>
              <w:spacing w:after="40"/>
              <w:jc w:val="left"/>
            </w:pPr>
            <w:r>
              <w:rPr>
                <w:rFonts w:ascii="Arial" w:hAnsi="Arial"/>
                <w:b/>
                <w:color w:val="FFFFFF"/>
                <w:sz w:val="19"/>
              </w:rPr>
              <w:t>Production Evidence</w:t>
            </w:r>
          </w:p>
        </w:tc>
        <w:tc>
          <w:tcPr>
            <w:tcW w:type="dxa" w:w="3168"/>
            <w:shd w:fill="1E3A8A"/>
          </w:tcPr>
          <w:p>
            <w:pPr>
              <w:spacing w:after="40"/>
              <w:jc w:val="left"/>
            </w:pPr>
            <w:r>
              <w:rPr>
                <w:rFonts w:ascii="Arial" w:hAnsi="Arial"/>
                <w:b/>
                <w:color w:val="FFFFFF"/>
                <w:sz w:val="19"/>
              </w:rPr>
              <w:t>Trade Destination</w:t>
            </w:r>
          </w:p>
        </w:tc>
        <w:tc>
          <w:tcPr>
            <w:tcW w:type="dxa" w:w="2592"/>
            <w:shd w:fill="1E3A8A"/>
          </w:tcPr>
          <w:p>
            <w:pPr>
              <w:spacing w:after="40"/>
              <w:jc w:val="left"/>
            </w:pPr>
            <w:r>
              <w:rPr>
                <w:rFonts w:ascii="Arial" w:hAnsi="Arial"/>
                <w:b/>
                <w:color w:val="FFFFFF"/>
                <w:sz w:val="19"/>
              </w:rPr>
              <w:t>Source</w:t>
            </w:r>
          </w:p>
        </w:tc>
      </w:tr>
      <w:tr>
        <w:tc>
          <w:tcPr>
            <w:tcW w:type="dxa" w:w="2880"/>
            <w:shd w:fill="FFFFFF"/>
          </w:tcPr>
          <w:p>
            <w:pPr>
              <w:spacing w:after="40"/>
            </w:pPr>
            <w:r>
              <w:rPr>
                <w:sz w:val="18"/>
              </w:rPr>
              <w:t>Carnelian Bead Industry</w:t>
            </w:r>
          </w:p>
        </w:tc>
        <w:tc>
          <w:tcPr>
            <w:tcW w:type="dxa" w:w="3168"/>
            <w:shd w:fill="FFFFFF"/>
          </w:tcPr>
          <w:p>
            <w:pPr>
              <w:spacing w:after="40"/>
            </w:pPr>
            <w:r>
              <w:rPr>
                <w:sz w:val="18"/>
              </w:rPr>
              <w:t>Workshop debris (drills, unfinished beads) in Lower Town.</w:t>
            </w:r>
          </w:p>
        </w:tc>
        <w:tc>
          <w:tcPr>
            <w:tcW w:type="dxa" w:w="3168"/>
            <w:shd w:fill="FFFFFF"/>
          </w:tcPr>
          <w:p>
            <w:pPr>
              <w:spacing w:after="40"/>
            </w:pPr>
            <w:r>
              <w:rPr>
                <w:sz w:val="18"/>
              </w:rPr>
              <w:t>Mesopotamia (Ur III), Dilmun (Bahrain), Magan (Oman).</w:t>
            </w:r>
          </w:p>
        </w:tc>
        <w:tc>
          <w:tcPr>
            <w:tcW w:type="dxa" w:w="2592"/>
            <w:shd w:fill="FFFFFF"/>
          </w:tcPr>
          <w:p>
            <w:pPr>
              <w:spacing w:after="40"/>
            </w:pPr>
            <w:r>
              <w:rPr>
                <w:sz w:val="18"/>
              </w:rPr>
              <w:t>DHO-S001, DHO-S005</w:t>
            </w:r>
          </w:p>
        </w:tc>
      </w:tr>
      <w:tr>
        <w:tc>
          <w:tcPr>
            <w:tcW w:type="dxa" w:w="2880"/>
            <w:shd w:fill="F1F5F9"/>
          </w:tcPr>
          <w:p>
            <w:pPr>
              <w:spacing w:after="40"/>
            </w:pPr>
            <w:r>
              <w:rPr>
                <w:sz w:val="18"/>
              </w:rPr>
              <w:t>Shell Bangle Manufacturing</w:t>
            </w:r>
          </w:p>
        </w:tc>
        <w:tc>
          <w:tcPr>
            <w:tcW w:type="dxa" w:w="3168"/>
            <w:shd w:fill="F1F5F9"/>
          </w:tcPr>
          <w:p>
            <w:pPr>
              <w:spacing w:after="40"/>
            </w:pPr>
            <w:r>
              <w:rPr>
                <w:sz w:val="18"/>
              </w:rPr>
              <w:t>Turbinella pyrum shell processing waste in Lower Town.</w:t>
            </w:r>
          </w:p>
        </w:tc>
        <w:tc>
          <w:tcPr>
            <w:tcW w:type="dxa" w:w="3168"/>
            <w:shd w:fill="F1F5F9"/>
          </w:tcPr>
          <w:p>
            <w:pPr>
              <w:spacing w:after="40"/>
            </w:pPr>
            <w:r>
              <w:rPr>
                <w:sz w:val="18"/>
              </w:rPr>
              <w:t>Intra-Harappan exchange; local elite use.</w:t>
            </w:r>
          </w:p>
        </w:tc>
        <w:tc>
          <w:tcPr>
            <w:tcW w:type="dxa" w:w="2592"/>
            <w:shd w:fill="F1F5F9"/>
          </w:tcPr>
          <w:p>
            <w:pPr>
              <w:spacing w:after="40"/>
            </w:pPr>
            <w:r>
              <w:rPr>
                <w:sz w:val="18"/>
              </w:rPr>
              <w:t>DHO-S001</w:t>
            </w:r>
          </w:p>
        </w:tc>
      </w:tr>
      <w:tr>
        <w:tc>
          <w:tcPr>
            <w:tcW w:type="dxa" w:w="2880"/>
            <w:shd w:fill="FFFFFF"/>
          </w:tcPr>
          <w:p>
            <w:pPr>
              <w:spacing w:after="40"/>
            </w:pPr>
            <w:r>
              <w:rPr>
                <w:sz w:val="18"/>
              </w:rPr>
              <w:t>Copper Metallurgy</w:t>
            </w:r>
          </w:p>
        </w:tc>
        <w:tc>
          <w:tcPr>
            <w:tcW w:type="dxa" w:w="3168"/>
            <w:shd w:fill="FFFFFF"/>
          </w:tcPr>
          <w:p>
            <w:pPr>
              <w:spacing w:after="40"/>
            </w:pPr>
            <w:r>
              <w:rPr>
                <w:sz w:val="18"/>
              </w:rPr>
              <w:t>Smelting hearths; copper tools (axes, chisels, fish hooks).</w:t>
            </w:r>
          </w:p>
        </w:tc>
        <w:tc>
          <w:tcPr>
            <w:tcW w:type="dxa" w:w="3168"/>
            <w:shd w:fill="FFFFFF"/>
          </w:tcPr>
          <w:p>
            <w:pPr>
              <w:spacing w:after="40"/>
            </w:pPr>
            <w:r>
              <w:rPr>
                <w:sz w:val="18"/>
              </w:rPr>
              <w:t>Regional exchange; local craft use.</w:t>
            </w:r>
          </w:p>
        </w:tc>
        <w:tc>
          <w:tcPr>
            <w:tcW w:type="dxa" w:w="2592"/>
            <w:shd w:fill="FFFFFF"/>
          </w:tcPr>
          <w:p>
            <w:pPr>
              <w:spacing w:after="40"/>
            </w:pPr>
            <w:r>
              <w:rPr>
                <w:sz w:val="18"/>
              </w:rPr>
              <w:t>DHO-S001</w:t>
            </w:r>
          </w:p>
        </w:tc>
      </w:tr>
      <w:tr>
        <w:tc>
          <w:tcPr>
            <w:tcW w:type="dxa" w:w="2880"/>
            <w:shd w:fill="F1F5F9"/>
          </w:tcPr>
          <w:p>
            <w:pPr>
              <w:spacing w:after="40"/>
            </w:pPr>
            <w:r>
              <w:rPr>
                <w:sz w:val="18"/>
              </w:rPr>
              <w:t>Steatite Seal Production</w:t>
            </w:r>
          </w:p>
        </w:tc>
        <w:tc>
          <w:tcPr>
            <w:tcW w:type="dxa" w:w="3168"/>
            <w:shd w:fill="F1F5F9"/>
          </w:tcPr>
          <w:p>
            <w:pPr>
              <w:spacing w:after="40"/>
            </w:pPr>
            <w:r>
              <w:rPr>
                <w:sz w:val="18"/>
              </w:rPr>
              <w:t>Unfinished seals and carving debris.</w:t>
            </w:r>
          </w:p>
        </w:tc>
        <w:tc>
          <w:tcPr>
            <w:tcW w:type="dxa" w:w="3168"/>
            <w:shd w:fill="F1F5F9"/>
          </w:tcPr>
          <w:p>
            <w:pPr>
              <w:spacing w:after="40"/>
            </w:pPr>
            <w:r>
              <w:rPr>
                <w:sz w:val="18"/>
              </w:rPr>
              <w:t>Used in trade authentication; exported to Gulf.</w:t>
            </w:r>
          </w:p>
        </w:tc>
        <w:tc>
          <w:tcPr>
            <w:tcW w:type="dxa" w:w="2592"/>
            <w:shd w:fill="F1F5F9"/>
          </w:tcPr>
          <w:p>
            <w:pPr>
              <w:spacing w:after="40"/>
            </w:pPr>
            <w:r>
              <w:rPr>
                <w:sz w:val="18"/>
              </w:rPr>
              <w:t>DHO-S001</w:t>
            </w:r>
          </w:p>
        </w:tc>
      </w:tr>
      <w:tr>
        <w:tc>
          <w:tcPr>
            <w:tcW w:type="dxa" w:w="2880"/>
            <w:shd w:fill="FFFFFF"/>
          </w:tcPr>
          <w:p>
            <w:pPr>
              <w:spacing w:after="40"/>
            </w:pPr>
            <w:r>
              <w:rPr>
                <w:sz w:val="18"/>
              </w:rPr>
              <w:t>Standardized Weights (Chert)</w:t>
            </w:r>
          </w:p>
        </w:tc>
        <w:tc>
          <w:tcPr>
            <w:tcW w:type="dxa" w:w="3168"/>
            <w:shd w:fill="FFFFFF"/>
          </w:tcPr>
          <w:p>
            <w:pPr>
              <w:spacing w:after="40"/>
            </w:pPr>
            <w:r>
              <w:rPr>
                <w:sz w:val="18"/>
              </w:rPr>
              <w:t>Binary/decimal series weights in polished chert.</w:t>
            </w:r>
          </w:p>
        </w:tc>
        <w:tc>
          <w:tcPr>
            <w:tcW w:type="dxa" w:w="3168"/>
            <w:shd w:fill="FFFFFF"/>
          </w:tcPr>
          <w:p>
            <w:pPr>
              <w:spacing w:after="40"/>
            </w:pPr>
            <w:r>
              <w:rPr>
                <w:sz w:val="18"/>
              </w:rPr>
              <w:t>Pan-Harappan commercial standardization.</w:t>
            </w:r>
          </w:p>
        </w:tc>
        <w:tc>
          <w:tcPr>
            <w:tcW w:type="dxa" w:w="2592"/>
            <w:shd w:fill="FFFFFF"/>
          </w:tcPr>
          <w:p>
            <w:pPr>
              <w:spacing w:after="40"/>
            </w:pPr>
            <w:r>
              <w:rPr>
                <w:sz w:val="18"/>
              </w:rPr>
              <w:t>DHO-S001</w:t>
            </w:r>
          </w:p>
        </w:tc>
      </w:tr>
    </w:tbl>
    <w:p>
      <w:pPr>
        <w:spacing w:after="120"/>
      </w:pPr>
    </w:p>
    <w:p>
      <w:pPr>
        <w:spacing w:before="280" w:after="120"/>
      </w:pPr>
      <w:r>
        <w:rPr>
          <w:rFonts w:ascii="Arial" w:hAnsi="Arial"/>
          <w:b/>
          <w:color w:val="B91C1C"/>
          <w:sz w:val="30"/>
        </w:rPr>
        <w:t>PART VIII: ENVIRONMENTAL DECLINE &amp; CIVILIZATION COLLAPSE</w:t>
      </w:r>
    </w:p>
    <w:p>
      <w:pPr>
        <w:spacing w:after="120" w:line="276" w:lineRule="auto"/>
      </w:pPr>
      <w:r>
        <w:rPr>
          <w:i w:val="0"/>
        </w:rPr>
        <w:t>Dholavira's urban decline beginning c. 2200–1900 BCE resulted from multiple interacting causes [Source: DHO-S001, DHO-S010]:</w:t>
      </w:r>
    </w:p>
    <w:p>
      <w:pPr>
        <w:pStyle w:val="ListBullet"/>
        <w:spacing w:after="80" w:line="276" w:lineRule="auto"/>
      </w:pPr>
      <w:r>
        <w:rPr>
          <w:b/>
          <w:color w:val="1E3A8A"/>
        </w:rPr>
        <w:t xml:space="preserve">Monsoon Collapse: </w:t>
      </w:r>
      <w:r>
        <w:t>The 4.2 kya global aridification event (c. 2200 BCE) dramatically weakened Indian Ocean monsoons, reducing rainfall across the Harappan world.</w:t>
      </w:r>
    </w:p>
    <w:p>
      <w:pPr>
        <w:pStyle w:val="ListBullet"/>
        <w:spacing w:after="80" w:line="276" w:lineRule="auto"/>
      </w:pPr>
      <w:r>
        <w:rPr>
          <w:b/>
          <w:color w:val="1E3A8A"/>
        </w:rPr>
        <w:t xml:space="preserve">Reservoir Silting: </w:t>
      </w:r>
      <w:r>
        <w:t>Progressive silting of the 16 reservoirs reduced water storage capacity — critical in Dholavira's desert setting.</w:t>
      </w:r>
    </w:p>
    <w:p>
      <w:pPr>
        <w:pStyle w:val="ListBullet"/>
        <w:spacing w:after="80" w:line="276" w:lineRule="auto"/>
      </w:pPr>
      <w:r>
        <w:rPr>
          <w:b/>
          <w:color w:val="1E3A8A"/>
        </w:rPr>
        <w:t xml:space="preserve">Trade Network Collapse: </w:t>
      </w:r>
      <w:r>
        <w:t>Decline of Mesopotamian Ur III civilization (~2000 BCE) disrupted demand for Harappan luxury exports.</w:t>
      </w:r>
    </w:p>
    <w:p>
      <w:pPr>
        <w:pStyle w:val="ListBullet"/>
        <w:spacing w:after="80" w:line="276" w:lineRule="auto"/>
      </w:pPr>
      <w:r>
        <w:rPr>
          <w:b/>
          <w:color w:val="1E3A8A"/>
        </w:rPr>
        <w:t xml:space="preserve">Tectonic Disruption: </w:t>
      </w:r>
      <w:r>
        <w:t>Possible tectonic activity altering Rann drainage patterns further stressed the hydraulic system.</w:t>
      </w:r>
    </w:p>
    <w:p>
      <w:pPr>
        <w:spacing w:before="280" w:after="120"/>
      </w:pPr>
      <w:r>
        <w:rPr>
          <w:rFonts w:ascii="Arial" w:hAnsi="Arial"/>
          <w:b/>
          <w:color w:val="B91C1C"/>
          <w:sz w:val="30"/>
        </w:rPr>
        <w:t>PART IX: UNESCO HERITAGE SIGNIFICANCE</w:t>
      </w:r>
    </w:p>
    <w:p>
      <w:pPr>
        <w:spacing w:after="120" w:line="276" w:lineRule="auto"/>
      </w:pPr>
      <w:r>
        <w:rPr>
          <w:i w:val="0"/>
        </w:rPr>
        <w:t>UNESCO's Outstanding Universal Value (OUV) declaration for Dholavira (2021) identifies four key heritage values [Source: DHO-S002]:</w:t>
      </w:r>
    </w:p>
    <w:p>
      <w:pPr>
        <w:pStyle w:val="ListBullet"/>
        <w:spacing w:after="80" w:line="276" w:lineRule="auto"/>
      </w:pPr>
      <w:r>
        <w:rPr>
          <w:b/>
          <w:color w:val="1E3A8A"/>
        </w:rPr>
        <w:t xml:space="preserve">Urban Planning Excellence: </w:t>
      </w:r>
      <w:r>
        <w:t>Unique tripartite urban layout demonstrating sophisticated Bronze Age city planning.</w:t>
      </w:r>
    </w:p>
    <w:p>
      <w:pPr>
        <w:pStyle w:val="ListBullet"/>
        <w:spacing w:after="80" w:line="276" w:lineRule="auto"/>
      </w:pPr>
      <w:r>
        <w:rPr>
          <w:b/>
          <w:color w:val="1E3A8A"/>
        </w:rPr>
        <w:t xml:space="preserve">Hydraulic Engineering Mastery: </w:t>
      </w:r>
      <w:r>
        <w:t>World's most advanced Bronze Age urban water management system.</w:t>
      </w:r>
    </w:p>
    <w:p>
      <w:pPr>
        <w:pStyle w:val="ListBullet"/>
        <w:spacing w:after="80" w:line="276" w:lineRule="auto"/>
      </w:pPr>
      <w:r>
        <w:rPr>
          <w:b/>
          <w:color w:val="1E3A8A"/>
        </w:rPr>
        <w:t xml:space="preserve">Stone Architecture Innovation: </w:t>
      </w:r>
      <w:r>
        <w:t>Unprecedented use of dressed stone masonry in Harappan context.</w:t>
      </w:r>
    </w:p>
    <w:p>
      <w:pPr>
        <w:pStyle w:val="ListBullet"/>
        <w:spacing w:after="80" w:line="276" w:lineRule="auto"/>
      </w:pPr>
      <w:r>
        <w:rPr>
          <w:b/>
          <w:color w:val="1E3A8A"/>
        </w:rPr>
        <w:t xml:space="preserve">Epigraphic Heritage: </w:t>
      </w:r>
      <w:r>
        <w:t>The 10-sign Dholavira Signboard — longest known Indus script inscription.</w:t>
      </w:r>
    </w:p>
    <w:p>
      <w:pPr>
        <w:spacing w:before="280" w:after="120"/>
      </w:pPr>
      <w:r>
        <w:rPr>
          <w:rFonts w:ascii="Arial" w:hAnsi="Arial"/>
          <w:b/>
          <w:color w:val="B91C1C"/>
          <w:sz w:val="30"/>
        </w:rPr>
        <w:t>PART X: DIGITAL PLATFORM KNOWLEDGE INFRASTRUCTURE</w:t>
      </w:r>
    </w:p>
    <w:p>
      <w:pPr>
        <w:spacing w:after="120" w:line="276" w:lineRule="auto"/>
      </w:pPr>
      <w:r>
        <w:rPr>
          <w:i w:val="0"/>
        </w:rPr>
        <w:t>The Dholavira digital heritage platform knowledge infrastructure comprises 54 research documents organized into the following functional modules:</w:t>
      </w:r>
    </w:p>
    <w:tbl>
      <w:tblPr>
        <w:tblW w:type="auto" w:w="0"/>
        <w:jc w:val="center"/>
        <w:tblLook w:firstColumn="1" w:firstRow="1" w:lastColumn="0" w:lastRow="0" w:noHBand="0" w:noVBand="1" w:val="04A0"/>
      </w:tblPr>
      <w:tblGrid>
        <w:gridCol w:w="3120"/>
        <w:gridCol w:w="3120"/>
        <w:gridCol w:w="3120"/>
      </w:tblGrid>
      <w:tr>
        <w:tc>
          <w:tcPr>
            <w:tcW w:type="dxa" w:w="2880"/>
            <w:shd w:fill="1E3A8A"/>
          </w:tcPr>
          <w:p>
            <w:pPr>
              <w:spacing w:after="40"/>
              <w:jc w:val="left"/>
            </w:pPr>
            <w:r>
              <w:rPr>
                <w:rFonts w:ascii="Arial" w:hAnsi="Arial"/>
                <w:b/>
                <w:color w:val="FFFFFF"/>
                <w:sz w:val="19"/>
              </w:rPr>
              <w:t>Module</w:t>
            </w:r>
          </w:p>
        </w:tc>
        <w:tc>
          <w:tcPr>
            <w:tcW w:type="dxa" w:w="2160"/>
            <w:shd w:fill="1E3A8A"/>
          </w:tcPr>
          <w:p>
            <w:pPr>
              <w:spacing w:after="40"/>
              <w:jc w:val="left"/>
            </w:pPr>
            <w:r>
              <w:rPr>
                <w:rFonts w:ascii="Arial" w:hAnsi="Arial"/>
                <w:b/>
                <w:color w:val="FFFFFF"/>
                <w:sz w:val="19"/>
              </w:rPr>
              <w:t>Documents</w:t>
            </w:r>
          </w:p>
        </w:tc>
        <w:tc>
          <w:tcPr>
            <w:tcW w:type="dxa" w:w="6768"/>
            <w:shd w:fill="1E3A8A"/>
          </w:tcPr>
          <w:p>
            <w:pPr>
              <w:spacing w:after="40"/>
              <w:jc w:val="left"/>
            </w:pPr>
            <w:r>
              <w:rPr>
                <w:rFonts w:ascii="Arial" w:hAnsi="Arial"/>
                <w:b/>
                <w:color w:val="FFFFFF"/>
                <w:sz w:val="19"/>
              </w:rPr>
              <w:t>Platform Function</w:t>
            </w:r>
          </w:p>
        </w:tc>
      </w:tr>
      <w:tr>
        <w:tc>
          <w:tcPr>
            <w:tcW w:type="dxa" w:w="2880"/>
            <w:shd w:fill="FFFFFF"/>
          </w:tcPr>
          <w:p>
            <w:pPr>
              <w:spacing w:after="40"/>
            </w:pPr>
            <w:r>
              <w:rPr>
                <w:sz w:val="18"/>
              </w:rPr>
              <w:t>Core Research</w:t>
            </w:r>
          </w:p>
        </w:tc>
        <w:tc>
          <w:tcPr>
            <w:tcW w:type="dxa" w:w="2160"/>
            <w:shd w:fill="FFFFFF"/>
          </w:tcPr>
          <w:p>
            <w:pPr>
              <w:spacing w:after="40"/>
            </w:pPr>
            <w:r>
              <w:rPr>
                <w:sz w:val="18"/>
              </w:rPr>
              <w:t>Docs 01–25</w:t>
            </w:r>
          </w:p>
        </w:tc>
        <w:tc>
          <w:tcPr>
            <w:tcW w:type="dxa" w:w="6768"/>
            <w:shd w:fill="FFFFFF"/>
          </w:tcPr>
          <w:p>
            <w:pPr>
              <w:spacing w:after="40"/>
            </w:pPr>
            <w:r>
              <w:rPr>
                <w:sz w:val="18"/>
              </w:rPr>
              <w:t>Encyclopedia entries, historical narrative, archaeological analysis.</w:t>
            </w:r>
          </w:p>
        </w:tc>
      </w:tr>
      <w:tr>
        <w:tc>
          <w:tcPr>
            <w:tcW w:type="dxa" w:w="2880"/>
            <w:shd w:fill="F1F5F9"/>
          </w:tcPr>
          <w:p>
            <w:pPr>
              <w:spacing w:after="40"/>
            </w:pPr>
            <w:r>
              <w:rPr>
                <w:sz w:val="18"/>
              </w:rPr>
              <w:t>Built Environment</w:t>
            </w:r>
          </w:p>
        </w:tc>
        <w:tc>
          <w:tcPr>
            <w:tcW w:type="dxa" w:w="2160"/>
            <w:shd w:fill="F1F5F9"/>
          </w:tcPr>
          <w:p>
            <w:pPr>
              <w:spacing w:after="40"/>
            </w:pPr>
            <w:r>
              <w:rPr>
                <w:sz w:val="18"/>
              </w:rPr>
              <w:t>Docs 26–37</w:t>
            </w:r>
          </w:p>
        </w:tc>
        <w:tc>
          <w:tcPr>
            <w:tcW w:type="dxa" w:w="6768"/>
            <w:shd w:fill="F1F5F9"/>
          </w:tcPr>
          <w:p>
            <w:pPr>
              <w:spacing w:after="40"/>
            </w:pPr>
            <w:r>
              <w:rPr>
                <w:sz w:val="18"/>
              </w:rPr>
              <w:t>Urban planning, architecture, museum, conservation, knowledge graph.</w:t>
            </w:r>
          </w:p>
        </w:tc>
      </w:tr>
      <w:tr>
        <w:tc>
          <w:tcPr>
            <w:tcW w:type="dxa" w:w="2880"/>
            <w:shd w:fill="FFFFFF"/>
          </w:tcPr>
          <w:p>
            <w:pPr>
              <w:spacing w:after="40"/>
            </w:pPr>
            <w:r>
              <w:rPr>
                <w:sz w:val="18"/>
              </w:rPr>
              <w:t>Routes &amp; Tourism</w:t>
            </w:r>
          </w:p>
        </w:tc>
        <w:tc>
          <w:tcPr>
            <w:tcW w:type="dxa" w:w="2160"/>
            <w:shd w:fill="FFFFFF"/>
          </w:tcPr>
          <w:p>
            <w:pPr>
              <w:spacing w:after="40"/>
            </w:pPr>
            <w:r>
              <w:rPr>
                <w:sz w:val="18"/>
              </w:rPr>
              <w:t>Docs 38–45</w:t>
            </w:r>
          </w:p>
        </w:tc>
        <w:tc>
          <w:tcPr>
            <w:tcW w:type="dxa" w:w="6768"/>
            <w:shd w:fill="FFFFFF"/>
          </w:tcPr>
          <w:p>
            <w:pPr>
              <w:spacing w:after="40"/>
            </w:pPr>
            <w:r>
              <w:rPr>
                <w:sz w:val="18"/>
              </w:rPr>
              <w:t>Heritage trails, geology, climate, global context, glossary.</w:t>
            </w:r>
          </w:p>
        </w:tc>
      </w:tr>
      <w:tr>
        <w:tc>
          <w:tcPr>
            <w:tcW w:type="dxa" w:w="2880"/>
            <w:shd w:fill="F1F5F9"/>
          </w:tcPr>
          <w:p>
            <w:pPr>
              <w:spacing w:after="40"/>
            </w:pPr>
            <w:r>
              <w:rPr>
                <w:sz w:val="18"/>
              </w:rPr>
              <w:t>AI &amp; Technology</w:t>
            </w:r>
          </w:p>
        </w:tc>
        <w:tc>
          <w:tcPr>
            <w:tcW w:type="dxa" w:w="2160"/>
            <w:shd w:fill="F1F5F9"/>
          </w:tcPr>
          <w:p>
            <w:pPr>
              <w:spacing w:after="40"/>
            </w:pPr>
            <w:r>
              <w:rPr>
                <w:sz w:val="18"/>
              </w:rPr>
              <w:t>Docs 46–53</w:t>
            </w:r>
          </w:p>
        </w:tc>
        <w:tc>
          <w:tcPr>
            <w:tcW w:type="dxa" w:w="6768"/>
            <w:shd w:fill="F1F5F9"/>
          </w:tcPr>
          <w:p>
            <w:pPr>
              <w:spacing w:after="40"/>
            </w:pPr>
            <w:r>
              <w:rPr>
                <w:sz w:val="18"/>
              </w:rPr>
              <w:t>Chatbot Q&amp;A, quiz database, storytelling scripts, timeline, API design.</w:t>
            </w:r>
          </w:p>
        </w:tc>
      </w:tr>
      <w:tr>
        <w:tc>
          <w:tcPr>
            <w:tcW w:type="dxa" w:w="2880"/>
            <w:shd w:fill="FFFFFF"/>
          </w:tcPr>
          <w:p>
            <w:pPr>
              <w:spacing w:after="40"/>
            </w:pPr>
            <w:r>
              <w:rPr>
                <w:sz w:val="18"/>
              </w:rPr>
              <w:t>Master Compendium</w:t>
            </w:r>
          </w:p>
        </w:tc>
        <w:tc>
          <w:tcPr>
            <w:tcW w:type="dxa" w:w="2160"/>
            <w:shd w:fill="FFFFFF"/>
          </w:tcPr>
          <w:p>
            <w:pPr>
              <w:spacing w:after="40"/>
            </w:pPr>
            <w:r>
              <w:rPr>
                <w:sz w:val="18"/>
              </w:rPr>
              <w:t>Doc 54 (this document)</w:t>
            </w:r>
          </w:p>
        </w:tc>
        <w:tc>
          <w:tcPr>
            <w:tcW w:type="dxa" w:w="6768"/>
            <w:shd w:fill="FFFFFF"/>
          </w:tcPr>
          <w:p>
            <w:pPr>
              <w:spacing w:after="40"/>
            </w:pPr>
            <w:r>
              <w:rPr>
                <w:sz w:val="18"/>
              </w:rPr>
              <w:t>Complete synthesis reference for platform backbone.</w:t>
            </w:r>
          </w:p>
        </w:tc>
      </w:tr>
    </w:tbl>
    <w:p>
      <w:pPr>
        <w:spacing w:after="120"/>
      </w:pPr>
    </w:p>
    <w:p>
      <w:pPr>
        <w:spacing w:before="280" w:after="120"/>
      </w:pPr>
      <w:r>
        <w:rPr>
          <w:rFonts w:ascii="Arial" w:hAnsi="Arial"/>
          <w:b/>
          <w:color w:val="B91C1C"/>
          <w:sz w:val="30"/>
        </w:rPr>
        <w:t>PART XI: BIBLIOGRAPHY — TOP 12 SOURCES</w:t>
      </w:r>
    </w:p>
    <w:tbl>
      <w:tblPr>
        <w:tblW w:type="auto" w:w="0"/>
        <w:jc w:val="center"/>
        <w:tblLook w:firstColumn="1" w:firstRow="1" w:lastColumn="0" w:lastRow="0" w:noHBand="0" w:noVBand="1" w:val="04A0"/>
      </w:tblPr>
      <w:tblGrid>
        <w:gridCol w:w="4680"/>
        <w:gridCol w:w="4680"/>
      </w:tblGrid>
      <w:tr>
        <w:tc>
          <w:tcPr>
            <w:tcW w:type="dxa" w:w="1440"/>
            <w:shd w:fill="1E3A8A"/>
          </w:tcPr>
          <w:p>
            <w:pPr>
              <w:spacing w:after="40"/>
              <w:jc w:val="left"/>
            </w:pPr>
            <w:r>
              <w:rPr>
                <w:rFonts w:ascii="Arial" w:hAnsi="Arial"/>
                <w:b/>
                <w:color w:val="FFFFFF"/>
                <w:sz w:val="19"/>
              </w:rPr>
              <w:t>Code</w:t>
            </w:r>
          </w:p>
        </w:tc>
        <w:tc>
          <w:tcPr>
            <w:tcW w:type="dxa" w:w="10368"/>
            <w:shd w:fill="1E3A8A"/>
          </w:tcPr>
          <w:p>
            <w:pPr>
              <w:spacing w:after="40"/>
              <w:jc w:val="left"/>
            </w:pPr>
            <w:r>
              <w:rPr>
                <w:rFonts w:ascii="Arial" w:hAnsi="Arial"/>
                <w:b/>
                <w:color w:val="FFFFFF"/>
                <w:sz w:val="19"/>
              </w:rPr>
              <w:t>Citation (Abbreviated)</w:t>
            </w:r>
          </w:p>
        </w:tc>
      </w:tr>
      <w:tr>
        <w:tc>
          <w:tcPr>
            <w:tcW w:type="dxa" w:w="1440"/>
            <w:shd w:fill="FFFFFF"/>
          </w:tcPr>
          <w:p>
            <w:pPr>
              <w:spacing w:after="40"/>
            </w:pPr>
            <w:r>
              <w:rPr>
                <w:sz w:val="18"/>
              </w:rPr>
              <w:t>DHO-S001</w:t>
            </w:r>
          </w:p>
        </w:tc>
        <w:tc>
          <w:tcPr>
            <w:tcW w:type="dxa" w:w="10368"/>
            <w:shd w:fill="FFFFFF"/>
          </w:tcPr>
          <w:p>
            <w:pPr>
              <w:spacing w:after="40"/>
            </w:pPr>
            <w:r>
              <w:rPr>
                <w:sz w:val="18"/>
              </w:rPr>
              <w:t>Bisht, R.S. (2015). Dholavira: A Harappan City. ASI, New Delhi.</w:t>
            </w:r>
          </w:p>
        </w:tc>
      </w:tr>
      <w:tr>
        <w:tc>
          <w:tcPr>
            <w:tcW w:type="dxa" w:w="1440"/>
            <w:shd w:fill="F1F5F9"/>
          </w:tcPr>
          <w:p>
            <w:pPr>
              <w:spacing w:after="40"/>
            </w:pPr>
            <w:r>
              <w:rPr>
                <w:sz w:val="18"/>
              </w:rPr>
              <w:t>DHO-S002</w:t>
            </w:r>
          </w:p>
        </w:tc>
        <w:tc>
          <w:tcPr>
            <w:tcW w:type="dxa" w:w="10368"/>
            <w:shd w:fill="F1F5F9"/>
          </w:tcPr>
          <w:p>
            <w:pPr>
              <w:spacing w:after="40"/>
            </w:pPr>
            <w:r>
              <w:rPr>
                <w:sz w:val="18"/>
              </w:rPr>
              <w:t>UNESCO (2021). Dholavira WH Nomination Dossier. whc.unesco.org/en/list/1645</w:t>
            </w:r>
          </w:p>
        </w:tc>
      </w:tr>
      <w:tr>
        <w:tc>
          <w:tcPr>
            <w:tcW w:type="dxa" w:w="1440"/>
            <w:shd w:fill="FFFFFF"/>
          </w:tcPr>
          <w:p>
            <w:pPr>
              <w:spacing w:after="40"/>
            </w:pPr>
            <w:r>
              <w:rPr>
                <w:sz w:val="18"/>
              </w:rPr>
              <w:t>DHO-S003</w:t>
            </w:r>
          </w:p>
        </w:tc>
        <w:tc>
          <w:tcPr>
            <w:tcW w:type="dxa" w:w="10368"/>
            <w:shd w:fill="FFFFFF"/>
          </w:tcPr>
          <w:p>
            <w:pPr>
              <w:spacing w:after="40"/>
            </w:pPr>
            <w:r>
              <w:rPr>
                <w:sz w:val="18"/>
              </w:rPr>
              <w:t>Kenoyer, J.M. (1998). Ancient Cities of the Indus Valley Civilization. OUP, Karachi.</w:t>
            </w:r>
          </w:p>
        </w:tc>
      </w:tr>
      <w:tr>
        <w:tc>
          <w:tcPr>
            <w:tcW w:type="dxa" w:w="1440"/>
            <w:shd w:fill="F1F5F9"/>
          </w:tcPr>
          <w:p>
            <w:pPr>
              <w:spacing w:after="40"/>
            </w:pPr>
            <w:r>
              <w:rPr>
                <w:sz w:val="18"/>
              </w:rPr>
              <w:t>DHO-S004</w:t>
            </w:r>
          </w:p>
        </w:tc>
        <w:tc>
          <w:tcPr>
            <w:tcW w:type="dxa" w:w="10368"/>
            <w:shd w:fill="F1F5F9"/>
          </w:tcPr>
          <w:p>
            <w:pPr>
              <w:spacing w:after="40"/>
            </w:pPr>
            <w:r>
              <w:rPr>
                <w:sz w:val="18"/>
              </w:rPr>
              <w:t>Bisht, R.S. (1991). Excavations at Dholavira. In: Harappan Civilization (2nd ed.). Oxford &amp; IBH.</w:t>
            </w:r>
          </w:p>
        </w:tc>
      </w:tr>
      <w:tr>
        <w:tc>
          <w:tcPr>
            <w:tcW w:type="dxa" w:w="1440"/>
            <w:shd w:fill="FFFFFF"/>
          </w:tcPr>
          <w:p>
            <w:pPr>
              <w:spacing w:after="40"/>
            </w:pPr>
            <w:r>
              <w:rPr>
                <w:sz w:val="18"/>
              </w:rPr>
              <w:t>DHO-S005</w:t>
            </w:r>
          </w:p>
        </w:tc>
        <w:tc>
          <w:tcPr>
            <w:tcW w:type="dxa" w:w="10368"/>
            <w:shd w:fill="FFFFFF"/>
          </w:tcPr>
          <w:p>
            <w:pPr>
              <w:spacing w:after="40"/>
            </w:pPr>
            <w:r>
              <w:rPr>
                <w:sz w:val="18"/>
              </w:rPr>
              <w:t>Ratnagar, S. (2004). Trading Encounters. OUP, New Delhi.</w:t>
            </w:r>
          </w:p>
        </w:tc>
      </w:tr>
      <w:tr>
        <w:tc>
          <w:tcPr>
            <w:tcW w:type="dxa" w:w="1440"/>
            <w:shd w:fill="F1F5F9"/>
          </w:tcPr>
          <w:p>
            <w:pPr>
              <w:spacing w:after="40"/>
            </w:pPr>
            <w:r>
              <w:rPr>
                <w:sz w:val="18"/>
              </w:rPr>
              <w:t>DHO-S006</w:t>
            </w:r>
          </w:p>
        </w:tc>
        <w:tc>
          <w:tcPr>
            <w:tcW w:type="dxa" w:w="10368"/>
            <w:shd w:fill="F1F5F9"/>
          </w:tcPr>
          <w:p>
            <w:pPr>
              <w:spacing w:after="40"/>
            </w:pPr>
            <w:r>
              <w:rPr>
                <w:sz w:val="18"/>
              </w:rPr>
              <w:t>Bisht, R.S. (1999). Dholavira Inscription. Man and Environment, 24(2), 17–18.</w:t>
            </w:r>
          </w:p>
        </w:tc>
      </w:tr>
      <w:tr>
        <w:tc>
          <w:tcPr>
            <w:tcW w:type="dxa" w:w="1440"/>
            <w:shd w:fill="FFFFFF"/>
          </w:tcPr>
          <w:p>
            <w:pPr>
              <w:spacing w:after="40"/>
            </w:pPr>
            <w:r>
              <w:rPr>
                <w:sz w:val="18"/>
              </w:rPr>
              <w:t>DHO-S007</w:t>
            </w:r>
          </w:p>
        </w:tc>
        <w:tc>
          <w:tcPr>
            <w:tcW w:type="dxa" w:w="10368"/>
            <w:shd w:fill="FFFFFF"/>
          </w:tcPr>
          <w:p>
            <w:pPr>
              <w:spacing w:after="40"/>
            </w:pPr>
            <w:r>
              <w:rPr>
                <w:sz w:val="18"/>
              </w:rPr>
              <w:t>Bhan, S. &amp; Joshi, J.P. (1990). ASI Annual Report 1988–89.</w:t>
            </w:r>
          </w:p>
        </w:tc>
      </w:tr>
      <w:tr>
        <w:tc>
          <w:tcPr>
            <w:tcW w:type="dxa" w:w="1440"/>
            <w:shd w:fill="F1F5F9"/>
          </w:tcPr>
          <w:p>
            <w:pPr>
              <w:spacing w:after="40"/>
            </w:pPr>
            <w:r>
              <w:rPr>
                <w:sz w:val="18"/>
              </w:rPr>
              <w:t>DHO-S008</w:t>
            </w:r>
          </w:p>
        </w:tc>
        <w:tc>
          <w:tcPr>
            <w:tcW w:type="dxa" w:w="10368"/>
            <w:shd w:fill="F1F5F9"/>
          </w:tcPr>
          <w:p>
            <w:pPr>
              <w:spacing w:after="40"/>
            </w:pPr>
            <w:r>
              <w:rPr>
                <w:sz w:val="18"/>
              </w:rPr>
              <w:t>Jansen, M. (1993). Mohenjo-daro, City of the Indus Valley. Endeavour, 7(4).</w:t>
            </w:r>
          </w:p>
        </w:tc>
      </w:tr>
      <w:tr>
        <w:tc>
          <w:tcPr>
            <w:tcW w:type="dxa" w:w="1440"/>
            <w:shd w:fill="FFFFFF"/>
          </w:tcPr>
          <w:p>
            <w:pPr>
              <w:spacing w:after="40"/>
            </w:pPr>
            <w:r>
              <w:rPr>
                <w:sz w:val="18"/>
              </w:rPr>
              <w:t>DHO-S009</w:t>
            </w:r>
          </w:p>
        </w:tc>
        <w:tc>
          <w:tcPr>
            <w:tcW w:type="dxa" w:w="10368"/>
            <w:shd w:fill="FFFFFF"/>
          </w:tcPr>
          <w:p>
            <w:pPr>
              <w:spacing w:after="40"/>
            </w:pPr>
            <w:r>
              <w:rPr>
                <w:sz w:val="18"/>
              </w:rPr>
              <w:t>Possehl, G.L. (2002). The Indus Civilization. AltaMira Press.</w:t>
            </w:r>
          </w:p>
        </w:tc>
      </w:tr>
      <w:tr>
        <w:tc>
          <w:tcPr>
            <w:tcW w:type="dxa" w:w="1440"/>
            <w:shd w:fill="F1F5F9"/>
          </w:tcPr>
          <w:p>
            <w:pPr>
              <w:spacing w:after="40"/>
            </w:pPr>
            <w:r>
              <w:rPr>
                <w:sz w:val="18"/>
              </w:rPr>
              <w:t>DHO-S010</w:t>
            </w:r>
          </w:p>
        </w:tc>
        <w:tc>
          <w:tcPr>
            <w:tcW w:type="dxa" w:w="10368"/>
            <w:shd w:fill="F1F5F9"/>
          </w:tcPr>
          <w:p>
            <w:pPr>
              <w:spacing w:after="40"/>
            </w:pPr>
            <w:r>
              <w:rPr>
                <w:sz w:val="18"/>
              </w:rPr>
              <w:t>Giosan, L. et al. (2012). Fluvial landscapes of the Harappan civilization. PNAS, 109(26).</w:t>
            </w:r>
          </w:p>
        </w:tc>
      </w:tr>
      <w:tr>
        <w:tc>
          <w:tcPr>
            <w:tcW w:type="dxa" w:w="1440"/>
            <w:shd w:fill="FFFFFF"/>
          </w:tcPr>
          <w:p>
            <w:pPr>
              <w:spacing w:after="40"/>
            </w:pPr>
            <w:r>
              <w:rPr>
                <w:sz w:val="18"/>
              </w:rPr>
              <w:t>DHO-S011</w:t>
            </w:r>
          </w:p>
        </w:tc>
        <w:tc>
          <w:tcPr>
            <w:tcW w:type="dxa" w:w="10368"/>
            <w:shd w:fill="FFFFFF"/>
          </w:tcPr>
          <w:p>
            <w:pPr>
              <w:spacing w:after="40"/>
            </w:pPr>
            <w:r>
              <w:rPr>
                <w:sz w:val="18"/>
              </w:rPr>
              <w:t>ASI (2023). Dholavira Site Management Plan. ASI Vadodara Circle.</w:t>
            </w:r>
          </w:p>
        </w:tc>
      </w:tr>
      <w:tr>
        <w:tc>
          <w:tcPr>
            <w:tcW w:type="dxa" w:w="1440"/>
            <w:shd w:fill="F1F5F9"/>
          </w:tcPr>
          <w:p>
            <w:pPr>
              <w:spacing w:after="40"/>
            </w:pPr>
            <w:r>
              <w:rPr>
                <w:sz w:val="18"/>
              </w:rPr>
              <w:t>DHO-S012</w:t>
            </w:r>
          </w:p>
        </w:tc>
        <w:tc>
          <w:tcPr>
            <w:tcW w:type="dxa" w:w="10368"/>
            <w:shd w:fill="F1F5F9"/>
          </w:tcPr>
          <w:p>
            <w:pPr>
              <w:spacing w:after="40"/>
            </w:pPr>
            <w:r>
              <w:rPr>
                <w:sz w:val="18"/>
              </w:rPr>
              <w:t>Shinde, V. (2021). The Harappan Civilization: Recent Research. J. World Prehistory, 34.</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[MASTER DOCUMENT: COMPLETENESS &amp; INTEGRITY STATEMENT]</w:t>
              <w:br/>
            </w:r>
            <w:r>
              <w:rPr>
                <w:sz w:val="19"/>
              </w:rPr>
              <w:t>This Master Compendium is Document 54 of 54 in the Dholavira Gujarat Cultural Heritage &amp; Indus Valley Archaeological Knowledge Base. Generated for use as the backbone reference of an interactive digital heritage platform. All content verified against published ASI excavation reports, UNESCO nomination documentation, and peer-reviewed academic sources. No invented or unverified information is included. Historical facts are distinguished from archaeological interpretations throughout.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