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01: HAMPI — IDENTITY, SCOPE &amp; COMPREHENSIVE OVERVIEW</w:t>
      </w:r>
    </w:p>
    <w:p>
      <w:pPr>
        <w:spacing w:before="0" w:after="240"/>
      </w:pPr>
      <w:r>
        <w:rPr>
          <w:rFonts w:ascii="Georgia" w:hAnsi="Georgia"/>
          <w:i/>
          <w:color w:val="5A5046"/>
          <w:sz w:val="24"/>
        </w:rPr>
        <w:t>Foundational Identity, Multi-Scale Geographic Scope, and Tier-1 Cultural Profile</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Basic Identity &amp; Epistemic Taxonomy</w:t>
      </w:r>
    </w:p>
    <w:p>
      <w:pPr>
        <w:spacing w:after="100" w:line="276" w:lineRule="auto"/>
      </w:pPr>
      <w:r>
        <w:t>Hampi (Kannada: ಹಂಪಿ, IAST: Hampi/Hampe), historically celebrated as Pampakshetra, Bhaskara-kshetra, and the urban core of Vijayanagara ('City of Victory'), represents one of the world's most monumental medieval metropolises and a premier UNESCO World Heritage Site in Southern India.</w:t>
      </w:r>
    </w:p>
    <w:tbl>
      <w:tblPr>
        <w:tblW w:type="auto" w:w="0"/>
        <w:jc w:val="center"/>
        <w:tblLook w:firstColumn="1" w:firstRow="1" w:lastColumn="0" w:lastRow="0" w:noHBand="0" w:noVBand="1" w:val="04A0"/>
      </w:tblPr>
      <w:tblGrid>
        <w:gridCol w:w="9936"/>
      </w:tblGrid>
      <w:tr>
        <w:tc>
          <w:tcPr>
            <w:tcW w:type="dxa" w:w="9792"/>
            <w:shd w:fill="FFF8EE"/>
            <w:tcMar>
              <w:top w:w="120" w:type="dxa"/>
              <w:bottom w:w="120" w:type="dxa"/>
              <w:left w:w="180" w:type="dxa"/>
              <w:right w:w="180" w:type="dxa"/>
            </w:tcMar>
            <w:tcBorders>
              <w:top w:val="none" w:sz="0" w:space="0" w:color="auto"/>
              <w:left w:val="single" w:sz="24" w:space="0" w:color="C27D38"/>
              <w:bottom w:val="none" w:sz="0" w:space="0" w:color="auto"/>
              <w:right w:val="none" w:sz="0" w:space="0" w:color="auto"/>
            </w:tcBorders>
          </w:tcPr>
          <w:p>
            <w:pPr>
              <w:spacing w:after="60"/>
            </w:pPr>
            <w:r>
              <w:rPr>
                <w:b/>
                <w:color w:val="A03C14"/>
                <w:sz w:val="19"/>
              </w:rPr>
              <w:t>[TAXONOMY &amp; FACT/MYTHOLOGY DISTINCTION]</w:t>
              <w:br/>
            </w:r>
            <w:r>
              <w:rPr>
                <w:color w:val="3C3228"/>
                <w:sz w:val="20"/>
              </w:rPr>
              <w:t>HISTORICAL FACT &amp; EPIGRAPHICAL RECORD: The name 'Hampi' is the Kannada Anglicized derivation of 'Hampe', evolved linguistically from 'Pampa', the ancient indigenous river goddess of the Tungabhadra River.</w:t>
              <w:br/>
              <w:t>MYTHOLOGICAL TRADITION: Pampakshetra is traditionally revered as the sacred penance ground where goddess Pampa undertook rigorous tapas to win the ascetic deity Shiva (Virupaksha).</w:t>
              <w:br/>
              <w:t>GEOGRAPHIC DISTINCTION: This document strictly distinguishes Hampi Archaeological Zone (41.87 sq km core World Heritage property) from the modern revenue village of Hampi, Hospet city, and the broader Vijayanagara Empire.</w:t>
            </w:r>
          </w:p>
        </w:tc>
      </w:tr>
    </w:tbl>
    <w:p>
      <w:pPr>
        <w:spacing w:after="80"/>
      </w:pPr>
    </w:p>
    <w:p>
      <w:pPr>
        <w:keepNext/>
        <w:spacing w:before="200" w:after="60"/>
      </w:pPr>
      <w:r>
        <w:rPr>
          <w:rFonts w:ascii="Georgia" w:hAnsi="Georgia"/>
          <w:b/>
          <w:color w:val="3C3228"/>
          <w:sz w:val="25"/>
        </w:rPr>
        <w:t>Key Identity Matrix</w:t>
      </w:r>
    </w:p>
    <w:tbl>
      <w:tblPr>
        <w:tblW w:type="auto" w:w="0"/>
        <w:jc w:val="center"/>
        <w:tblLook w:firstColumn="1" w:firstRow="1" w:lastColumn="0" w:lastRow="0" w:noHBand="0" w:noVBand="1" w:val="04A0"/>
      </w:tblPr>
      <w:tblGrid>
        <w:gridCol w:w="3312"/>
        <w:gridCol w:w="3312"/>
        <w:gridCol w:w="3312"/>
      </w:tblGrid>
      <w:tr>
        <w:tc>
          <w:tcPr>
            <w:tcW w:type="dxa" w:w="2592"/>
            <w:shd w:fill="78321E"/>
            <w:tcMar>
              <w:top w:w="100" w:type="dxa"/>
              <w:bottom w:w="100" w:type="dxa"/>
              <w:left w:w="120" w:type="dxa"/>
              <w:right w:w="120" w:type="dxa"/>
            </w:tcMar>
          </w:tcPr>
          <w:p>
            <w:pPr>
              <w:spacing w:after="0"/>
            </w:pPr>
            <w:r>
              <w:rPr>
                <w:b/>
                <w:color w:val="FFFFFF"/>
                <w:sz w:val="19"/>
              </w:rPr>
              <w:t>Identity Attribute</w:t>
            </w:r>
          </w:p>
        </w:tc>
        <w:tc>
          <w:tcPr>
            <w:tcW w:type="dxa" w:w="3600"/>
            <w:shd w:fill="78321E"/>
            <w:tcMar>
              <w:top w:w="100" w:type="dxa"/>
              <w:bottom w:w="100" w:type="dxa"/>
              <w:left w:w="120" w:type="dxa"/>
              <w:right w:w="120" w:type="dxa"/>
            </w:tcMar>
          </w:tcPr>
          <w:p>
            <w:pPr>
              <w:spacing w:after="0"/>
            </w:pPr>
            <w:r>
              <w:rPr>
                <w:b/>
                <w:color w:val="FFFFFF"/>
                <w:sz w:val="19"/>
              </w:rPr>
              <w:t>Official Specification</w:t>
            </w:r>
          </w:p>
        </w:tc>
        <w:tc>
          <w:tcPr>
            <w:tcW w:type="dxa" w:w="3888"/>
            <w:shd w:fill="78321E"/>
            <w:tcMar>
              <w:top w:w="100" w:type="dxa"/>
              <w:bottom w:w="100" w:type="dxa"/>
              <w:left w:w="120" w:type="dxa"/>
              <w:right w:w="120" w:type="dxa"/>
            </w:tcMar>
          </w:tcPr>
          <w:p>
            <w:pPr>
              <w:spacing w:after="0"/>
            </w:pPr>
            <w:r>
              <w:rPr>
                <w:b/>
                <w:color w:val="FFFFFF"/>
                <w:sz w:val="19"/>
              </w:rPr>
              <w:t>Historical &amp; Administrative Details</w:t>
            </w:r>
          </w:p>
        </w:tc>
      </w:tr>
      <w:tr>
        <w:tc>
          <w:tcPr>
            <w:tcW w:type="dxa" w:w="2592"/>
            <w:shd w:fill="FAF6F0"/>
            <w:tcMar>
              <w:top w:w="80" w:type="dxa"/>
              <w:bottom w:w="80" w:type="dxa"/>
              <w:left w:w="100" w:type="dxa"/>
              <w:right w:w="100" w:type="dxa"/>
            </w:tcMar>
          </w:tcPr>
          <w:p>
            <w:pPr>
              <w:spacing w:after="0"/>
            </w:pPr>
            <w:r>
              <w:rPr>
                <w:color w:val="2D2D2D"/>
                <w:sz w:val="18"/>
              </w:rPr>
              <w:t>Official Modern Name</w:t>
            </w:r>
          </w:p>
        </w:tc>
        <w:tc>
          <w:tcPr>
            <w:tcW w:type="dxa" w:w="3600"/>
            <w:shd w:fill="FAF6F0"/>
            <w:tcMar>
              <w:top w:w="80" w:type="dxa"/>
              <w:bottom w:w="80" w:type="dxa"/>
              <w:left w:w="100" w:type="dxa"/>
              <w:right w:w="100" w:type="dxa"/>
            </w:tcMar>
          </w:tcPr>
          <w:p>
            <w:pPr>
              <w:spacing w:after="0"/>
            </w:pPr>
            <w:r>
              <w:rPr>
                <w:color w:val="2D2D2D"/>
                <w:sz w:val="18"/>
              </w:rPr>
              <w:t>Hampi (Gram Panchayat &amp; Archaeological Site)</w:t>
            </w:r>
          </w:p>
        </w:tc>
        <w:tc>
          <w:tcPr>
            <w:tcW w:type="dxa" w:w="3888"/>
            <w:shd w:fill="FAF6F0"/>
            <w:tcMar>
              <w:top w:w="80" w:type="dxa"/>
              <w:bottom w:w="80" w:type="dxa"/>
              <w:left w:w="100" w:type="dxa"/>
              <w:right w:w="100" w:type="dxa"/>
            </w:tcMar>
          </w:tcPr>
          <w:p>
            <w:pPr>
              <w:spacing w:after="0"/>
            </w:pPr>
            <w:r>
              <w:rPr>
                <w:color w:val="2D2D2D"/>
                <w:sz w:val="18"/>
              </w:rPr>
              <w:t>Historical variants: Hampe, Hampi-Vijayanagara</w:t>
            </w:r>
          </w:p>
        </w:tc>
      </w:tr>
      <w:tr>
        <w:tc>
          <w:tcPr>
            <w:tcW w:type="dxa" w:w="2592"/>
            <w:shd w:fill="FFFFFF"/>
            <w:tcMar>
              <w:top w:w="80" w:type="dxa"/>
              <w:bottom w:w="80" w:type="dxa"/>
              <w:left w:w="100" w:type="dxa"/>
              <w:right w:w="100" w:type="dxa"/>
            </w:tcMar>
          </w:tcPr>
          <w:p>
            <w:pPr>
              <w:spacing w:after="0"/>
            </w:pPr>
            <w:r>
              <w:rPr>
                <w:color w:val="2D2D2D"/>
                <w:sz w:val="18"/>
              </w:rPr>
              <w:t>Ancient / Classical Names</w:t>
            </w:r>
          </w:p>
        </w:tc>
        <w:tc>
          <w:tcPr>
            <w:tcW w:type="dxa" w:w="3600"/>
            <w:shd w:fill="FFFFFF"/>
            <w:tcMar>
              <w:top w:w="80" w:type="dxa"/>
              <w:bottom w:w="80" w:type="dxa"/>
              <w:left w:w="100" w:type="dxa"/>
              <w:right w:w="100" w:type="dxa"/>
            </w:tcMar>
          </w:tcPr>
          <w:p>
            <w:pPr>
              <w:spacing w:after="0"/>
            </w:pPr>
            <w:r>
              <w:rPr>
                <w:color w:val="2D2D2D"/>
                <w:sz w:val="18"/>
              </w:rPr>
              <w:t>Pampakshetra, Bhaskarakshetra, Kishkindha (Mythological)</w:t>
            </w:r>
          </w:p>
        </w:tc>
        <w:tc>
          <w:tcPr>
            <w:tcW w:type="dxa" w:w="3888"/>
            <w:shd w:fill="FFFFFF"/>
            <w:tcMar>
              <w:top w:w="80" w:type="dxa"/>
              <w:bottom w:w="80" w:type="dxa"/>
              <w:left w:w="100" w:type="dxa"/>
              <w:right w:w="100" w:type="dxa"/>
            </w:tcMar>
          </w:tcPr>
          <w:p>
            <w:pPr>
              <w:spacing w:after="0"/>
            </w:pPr>
            <w:r>
              <w:rPr>
                <w:color w:val="2D2D2D"/>
                <w:sz w:val="18"/>
              </w:rPr>
              <w:t>Recorded in Skanda Purana, Hemakuta Khanda, &amp; 10th-c. inscriptions</w:t>
            </w:r>
          </w:p>
        </w:tc>
      </w:tr>
      <w:tr>
        <w:tc>
          <w:tcPr>
            <w:tcW w:type="dxa" w:w="2592"/>
            <w:shd w:fill="FAF6F0"/>
            <w:tcMar>
              <w:top w:w="80" w:type="dxa"/>
              <w:bottom w:w="80" w:type="dxa"/>
              <w:left w:w="100" w:type="dxa"/>
              <w:right w:w="100" w:type="dxa"/>
            </w:tcMar>
          </w:tcPr>
          <w:p>
            <w:pPr>
              <w:spacing w:after="0"/>
            </w:pPr>
            <w:r>
              <w:rPr>
                <w:color w:val="2D2D2D"/>
                <w:sz w:val="18"/>
              </w:rPr>
              <w:t>Imperial Capital Name</w:t>
            </w:r>
          </w:p>
        </w:tc>
        <w:tc>
          <w:tcPr>
            <w:tcW w:type="dxa" w:w="3600"/>
            <w:shd w:fill="FAF6F0"/>
            <w:tcMar>
              <w:top w:w="80" w:type="dxa"/>
              <w:bottom w:w="80" w:type="dxa"/>
              <w:left w:w="100" w:type="dxa"/>
              <w:right w:w="100" w:type="dxa"/>
            </w:tcMar>
          </w:tcPr>
          <w:p>
            <w:pPr>
              <w:spacing w:after="0"/>
            </w:pPr>
            <w:r>
              <w:rPr>
                <w:color w:val="2D2D2D"/>
                <w:sz w:val="18"/>
              </w:rPr>
              <w:t>Vijayanagara / Vidyanagara</w:t>
            </w:r>
          </w:p>
        </w:tc>
        <w:tc>
          <w:tcPr>
            <w:tcW w:type="dxa" w:w="3888"/>
            <w:shd w:fill="FAF6F0"/>
            <w:tcMar>
              <w:top w:w="80" w:type="dxa"/>
              <w:bottom w:w="80" w:type="dxa"/>
              <w:left w:w="100" w:type="dxa"/>
              <w:right w:w="100" w:type="dxa"/>
            </w:tcMar>
          </w:tcPr>
          <w:p>
            <w:pPr>
              <w:spacing w:after="0"/>
            </w:pPr>
            <w:r>
              <w:rPr>
                <w:color w:val="2D2D2D"/>
                <w:sz w:val="18"/>
              </w:rPr>
              <w:t>Capital of the Vijayanagara Empire (1336–1565 CE)</w:t>
            </w:r>
          </w:p>
        </w:tc>
      </w:tr>
      <w:tr>
        <w:tc>
          <w:tcPr>
            <w:tcW w:type="dxa" w:w="2592"/>
            <w:shd w:fill="FFFFFF"/>
            <w:tcMar>
              <w:top w:w="80" w:type="dxa"/>
              <w:bottom w:w="80" w:type="dxa"/>
              <w:left w:w="100" w:type="dxa"/>
              <w:right w:w="100" w:type="dxa"/>
            </w:tcMar>
          </w:tcPr>
          <w:p>
            <w:pPr>
              <w:spacing w:after="0"/>
            </w:pPr>
            <w:r>
              <w:rPr>
                <w:color w:val="2D2D2D"/>
                <w:sz w:val="18"/>
              </w:rPr>
              <w:t>Geographical Coordinates</w:t>
            </w:r>
          </w:p>
        </w:tc>
        <w:tc>
          <w:tcPr>
            <w:tcW w:type="dxa" w:w="3600"/>
            <w:shd w:fill="FFFFFF"/>
            <w:tcMar>
              <w:top w:w="80" w:type="dxa"/>
              <w:bottom w:w="80" w:type="dxa"/>
              <w:left w:w="100" w:type="dxa"/>
              <w:right w:w="100" w:type="dxa"/>
            </w:tcMar>
          </w:tcPr>
          <w:p>
            <w:pPr>
              <w:spacing w:after="0"/>
            </w:pPr>
            <w:r>
              <w:rPr>
                <w:color w:val="2D2D2D"/>
                <w:sz w:val="18"/>
              </w:rPr>
              <w:t>15° 20' 05" N, 76° 27' 44" E</w:t>
            </w:r>
          </w:p>
        </w:tc>
        <w:tc>
          <w:tcPr>
            <w:tcW w:type="dxa" w:w="3888"/>
            <w:shd w:fill="FFFFFF"/>
            <w:tcMar>
              <w:top w:w="80" w:type="dxa"/>
              <w:bottom w:w="80" w:type="dxa"/>
              <w:left w:w="100" w:type="dxa"/>
              <w:right w:w="100" w:type="dxa"/>
            </w:tcMar>
          </w:tcPr>
          <w:p>
            <w:pPr>
              <w:spacing w:after="0"/>
            </w:pPr>
            <w:r>
              <w:rPr>
                <w:color w:val="2D2D2D"/>
                <w:sz w:val="18"/>
              </w:rPr>
              <w:t>Central Deccan Plateau, along the Tungabhadra River basin</w:t>
            </w:r>
          </w:p>
        </w:tc>
      </w:tr>
      <w:tr>
        <w:tc>
          <w:tcPr>
            <w:tcW w:type="dxa" w:w="2592"/>
            <w:shd w:fill="FAF6F0"/>
            <w:tcMar>
              <w:top w:w="80" w:type="dxa"/>
              <w:bottom w:w="80" w:type="dxa"/>
              <w:left w:w="100" w:type="dxa"/>
              <w:right w:w="100" w:type="dxa"/>
            </w:tcMar>
          </w:tcPr>
          <w:p>
            <w:pPr>
              <w:spacing w:after="0"/>
            </w:pPr>
            <w:r>
              <w:rPr>
                <w:color w:val="2D2D2D"/>
                <w:sz w:val="18"/>
              </w:rPr>
              <w:t>Administrative Jurisdiction</w:t>
            </w:r>
          </w:p>
        </w:tc>
        <w:tc>
          <w:tcPr>
            <w:tcW w:type="dxa" w:w="3600"/>
            <w:shd w:fill="FAF6F0"/>
            <w:tcMar>
              <w:top w:w="80" w:type="dxa"/>
              <w:bottom w:w="80" w:type="dxa"/>
              <w:left w:w="100" w:type="dxa"/>
              <w:right w:w="100" w:type="dxa"/>
            </w:tcMar>
          </w:tcPr>
          <w:p>
            <w:pPr>
              <w:spacing w:after="0"/>
            </w:pPr>
            <w:r>
              <w:rPr>
                <w:color w:val="2D2D2D"/>
                <w:sz w:val="18"/>
              </w:rPr>
              <w:t>Hosapete Taluk, Vijayanagara District, Karnataka</w:t>
            </w:r>
          </w:p>
        </w:tc>
        <w:tc>
          <w:tcPr>
            <w:tcW w:type="dxa" w:w="3888"/>
            <w:shd w:fill="FAF6F0"/>
            <w:tcMar>
              <w:top w:w="80" w:type="dxa"/>
              <w:bottom w:w="80" w:type="dxa"/>
              <w:left w:w="100" w:type="dxa"/>
              <w:right w:w="100" w:type="dxa"/>
            </w:tcMar>
          </w:tcPr>
          <w:p>
            <w:pPr>
              <w:spacing w:after="0"/>
            </w:pPr>
            <w:r>
              <w:rPr>
                <w:color w:val="2D2D2D"/>
                <w:sz w:val="18"/>
              </w:rPr>
              <w:t>Separated from Ballari District on 2 October 2021 as 31st District of Karnataka</w:t>
            </w:r>
          </w:p>
        </w:tc>
      </w:tr>
      <w:tr>
        <w:tc>
          <w:tcPr>
            <w:tcW w:type="dxa" w:w="2592"/>
            <w:shd w:fill="FFFFFF"/>
            <w:tcMar>
              <w:top w:w="80" w:type="dxa"/>
              <w:bottom w:w="80" w:type="dxa"/>
              <w:left w:w="100" w:type="dxa"/>
              <w:right w:w="100" w:type="dxa"/>
            </w:tcMar>
          </w:tcPr>
          <w:p>
            <w:pPr>
              <w:spacing w:after="0"/>
            </w:pPr>
            <w:r>
              <w:rPr>
                <w:color w:val="2D2D2D"/>
                <w:sz w:val="18"/>
              </w:rPr>
              <w:t>Archaeological Protection</w:t>
            </w:r>
          </w:p>
        </w:tc>
        <w:tc>
          <w:tcPr>
            <w:tcW w:type="dxa" w:w="3600"/>
            <w:shd w:fill="FFFFFF"/>
            <w:tcMar>
              <w:top w:w="80" w:type="dxa"/>
              <w:bottom w:w="80" w:type="dxa"/>
              <w:left w:w="100" w:type="dxa"/>
              <w:right w:w="100" w:type="dxa"/>
            </w:tcMar>
          </w:tcPr>
          <w:p>
            <w:pPr>
              <w:spacing w:after="0"/>
            </w:pPr>
            <w:r>
              <w:rPr>
                <w:color w:val="2D2D2D"/>
                <w:sz w:val="18"/>
              </w:rPr>
              <w:t>Archaeological Survey of India (ASI) - Mini Circle / Bangalore Circle</w:t>
            </w:r>
          </w:p>
        </w:tc>
        <w:tc>
          <w:tcPr>
            <w:tcW w:type="dxa" w:w="3888"/>
            <w:shd w:fill="FFFFFF"/>
            <w:tcMar>
              <w:top w:w="80" w:type="dxa"/>
              <w:bottom w:w="80" w:type="dxa"/>
              <w:left w:w="100" w:type="dxa"/>
              <w:right w:w="100" w:type="dxa"/>
            </w:tcMar>
          </w:tcPr>
          <w:p>
            <w:pPr>
              <w:spacing w:after="0"/>
            </w:pPr>
            <w:r>
              <w:rPr>
                <w:color w:val="2D2D2D"/>
                <w:sz w:val="18"/>
              </w:rPr>
              <w:t>Declared Centrally Protected Monument under AMASR Act 1958</w:t>
            </w:r>
          </w:p>
        </w:tc>
      </w:tr>
      <w:tr>
        <w:tc>
          <w:tcPr>
            <w:tcW w:type="dxa" w:w="2592"/>
            <w:shd w:fill="FAF6F0"/>
            <w:tcMar>
              <w:top w:w="80" w:type="dxa"/>
              <w:bottom w:w="80" w:type="dxa"/>
              <w:left w:w="100" w:type="dxa"/>
              <w:right w:w="100" w:type="dxa"/>
            </w:tcMar>
          </w:tcPr>
          <w:p>
            <w:pPr>
              <w:spacing w:after="0"/>
            </w:pPr>
            <w:r>
              <w:rPr>
                <w:color w:val="2D2D2D"/>
                <w:sz w:val="18"/>
              </w:rPr>
              <w:t>UNESCO Inscription</w:t>
            </w:r>
          </w:p>
        </w:tc>
        <w:tc>
          <w:tcPr>
            <w:tcW w:type="dxa" w:w="3600"/>
            <w:shd w:fill="FAF6F0"/>
            <w:tcMar>
              <w:top w:w="80" w:type="dxa"/>
              <w:bottom w:w="80" w:type="dxa"/>
              <w:left w:w="100" w:type="dxa"/>
              <w:right w:w="100" w:type="dxa"/>
            </w:tcMar>
          </w:tcPr>
          <w:p>
            <w:pPr>
              <w:spacing w:after="0"/>
            </w:pPr>
            <w:r>
              <w:rPr>
                <w:color w:val="2D2D2D"/>
                <w:sz w:val="18"/>
              </w:rPr>
              <w:t>Inscribed 1986 (10th Session)</w:t>
            </w:r>
          </w:p>
        </w:tc>
        <w:tc>
          <w:tcPr>
            <w:tcW w:type="dxa" w:w="3888"/>
            <w:shd w:fill="FAF6F0"/>
            <w:tcMar>
              <w:top w:w="80" w:type="dxa"/>
              <w:bottom w:w="80" w:type="dxa"/>
              <w:left w:w="100" w:type="dxa"/>
              <w:right w:w="100" w:type="dxa"/>
            </w:tcMar>
          </w:tcPr>
          <w:p>
            <w:pPr>
              <w:spacing w:after="0"/>
            </w:pPr>
            <w:r>
              <w:rPr>
                <w:color w:val="2D2D2D"/>
                <w:sz w:val="18"/>
              </w:rPr>
              <w:t>Criteria (i), (iii), (iv); World Heritage in Danger list (1999–2006; removed after Master Plan)</w:t>
            </w:r>
          </w:p>
        </w:tc>
      </w:tr>
      <w:tr>
        <w:tc>
          <w:tcPr>
            <w:tcW w:type="dxa" w:w="2592"/>
            <w:shd w:fill="FFFFFF"/>
            <w:tcMar>
              <w:top w:w="80" w:type="dxa"/>
              <w:bottom w:w="80" w:type="dxa"/>
              <w:left w:w="100" w:type="dxa"/>
              <w:right w:w="100" w:type="dxa"/>
            </w:tcMar>
          </w:tcPr>
          <w:p>
            <w:pPr>
              <w:spacing w:after="0"/>
            </w:pPr>
            <w:r>
              <w:rPr>
                <w:color w:val="2D2D2D"/>
                <w:sz w:val="18"/>
              </w:rPr>
              <w:t>Official Spoken Languages</w:t>
            </w:r>
          </w:p>
        </w:tc>
        <w:tc>
          <w:tcPr>
            <w:tcW w:type="dxa" w:w="3600"/>
            <w:shd w:fill="FFFFFF"/>
            <w:tcMar>
              <w:top w:w="80" w:type="dxa"/>
              <w:bottom w:w="80" w:type="dxa"/>
              <w:left w:w="100" w:type="dxa"/>
              <w:right w:w="100" w:type="dxa"/>
            </w:tcMar>
          </w:tcPr>
          <w:p>
            <w:pPr>
              <w:spacing w:after="0"/>
            </w:pPr>
            <w:r>
              <w:rPr>
                <w:color w:val="2D2D2D"/>
                <w:sz w:val="18"/>
              </w:rPr>
              <w:t>Kannada (State Official &amp; Primary), English, Telugu, Hindi</w:t>
            </w:r>
          </w:p>
        </w:tc>
        <w:tc>
          <w:tcPr>
            <w:tcW w:type="dxa" w:w="3888"/>
            <w:shd w:fill="FFFFFF"/>
            <w:tcMar>
              <w:top w:w="80" w:type="dxa"/>
              <w:bottom w:w="80" w:type="dxa"/>
              <w:left w:w="100" w:type="dxa"/>
              <w:right w:w="100" w:type="dxa"/>
            </w:tcMar>
          </w:tcPr>
          <w:p>
            <w:pPr>
              <w:spacing w:after="0"/>
            </w:pPr>
            <w:r>
              <w:rPr>
                <w:color w:val="2D2D2D"/>
                <w:sz w:val="18"/>
              </w:rPr>
              <w:t>Historical court languages: Kannada, Telugu, Sanskrit; trade: Portuguese, Arabic, Persian</w:t>
            </w:r>
          </w:p>
        </w:tc>
      </w:tr>
      <w:tr>
        <w:tc>
          <w:tcPr>
            <w:tcW w:type="dxa" w:w="2592"/>
            <w:shd w:fill="FAF6F0"/>
            <w:tcMar>
              <w:top w:w="80" w:type="dxa"/>
              <w:bottom w:w="80" w:type="dxa"/>
              <w:left w:w="100" w:type="dxa"/>
              <w:right w:w="100" w:type="dxa"/>
            </w:tcMar>
          </w:tcPr>
          <w:p>
            <w:pPr>
              <w:spacing w:after="0"/>
            </w:pPr>
            <w:r>
              <w:rPr>
                <w:color w:val="2D2D2D"/>
                <w:sz w:val="18"/>
              </w:rPr>
              <w:t>Core Protected Zone</w:t>
            </w:r>
          </w:p>
        </w:tc>
        <w:tc>
          <w:tcPr>
            <w:tcW w:type="dxa" w:w="3600"/>
            <w:shd w:fill="FAF6F0"/>
            <w:tcMar>
              <w:top w:w="80" w:type="dxa"/>
              <w:bottom w:w="80" w:type="dxa"/>
              <w:left w:w="100" w:type="dxa"/>
              <w:right w:w="100" w:type="dxa"/>
            </w:tcMar>
          </w:tcPr>
          <w:p>
            <w:pPr>
              <w:spacing w:after="0"/>
            </w:pPr>
            <w:r>
              <w:rPr>
                <w:color w:val="2D2D2D"/>
                <w:sz w:val="18"/>
              </w:rPr>
              <w:t>41.87 sq km (Core World Heritage Property)</w:t>
            </w:r>
          </w:p>
        </w:tc>
        <w:tc>
          <w:tcPr>
            <w:tcW w:type="dxa" w:w="3888"/>
            <w:shd w:fill="FAF6F0"/>
            <w:tcMar>
              <w:top w:w="80" w:type="dxa"/>
              <w:bottom w:w="80" w:type="dxa"/>
              <w:left w:w="100" w:type="dxa"/>
              <w:right w:w="100" w:type="dxa"/>
            </w:tcMar>
          </w:tcPr>
          <w:p>
            <w:pPr>
              <w:spacing w:after="0"/>
            </w:pPr>
            <w:r>
              <w:rPr>
                <w:color w:val="2D2D2D"/>
                <w:sz w:val="18"/>
              </w:rPr>
              <w:t>Buffer Zone: ~142.6 sq km under Hampi World Heritage Area Management Authority (HWHAMA)</w:t>
            </w:r>
          </w:p>
        </w:tc>
      </w:tr>
    </w:tbl>
    <w:p>
      <w:pPr>
        <w:spacing w:after="120"/>
      </w:pPr>
    </w:p>
    <w:p>
      <w:pPr>
        <w:keepNext/>
        <w:spacing w:before="280" w:after="80"/>
      </w:pPr>
      <w:r>
        <w:rPr>
          <w:rFonts w:ascii="Georgia" w:hAnsi="Georgia"/>
          <w:b/>
          <w:color w:val="8C2D19"/>
          <w:sz w:val="30"/>
        </w:rPr>
        <w:t>2. Multi-Scale Geographical Scope Definitions</w:t>
      </w:r>
    </w:p>
    <w:p>
      <w:pPr>
        <w:spacing w:after="100" w:line="276" w:lineRule="auto"/>
      </w:pPr>
      <w:r>
        <w:t>To prevent geographic inaccuracies common in general travel literature, this research framework establishes eight strictly delineated spatial layers:</w:t>
      </w:r>
    </w:p>
    <w:p>
      <w:pPr>
        <w:spacing w:after="100" w:line="276" w:lineRule="auto"/>
      </w:pPr>
      <w:r>
        <w:t>• Spatial Layer A — Hampi Archaeological Site / World Heritage Core Zone: The 4,187-hectare protected zone comprising over 1,600 surviving monuments, temples, palatial ruins, civic structures, and hydraulic works.</w:t>
        <w:br/>
        <w:t>• Spatial Layer B — Hampi Village: The contemporary rural settlement and pilgrimage bazaar cluster situated immediately west and north of the Virupaksha Temple.</w:t>
        <w:br/>
        <w:t>• Spatial Layer C — Hampi Sacred Geography / Region: The cultural landscape extending across both banks of the Tungabhadra, including Matanga, Hemakuta, Anjanadri, and Malyavanta hills.</w:t>
        <w:br/>
        <w:t>• Spatial Layer D — Vijayanagara Imperial Metropolis: The historical 14th–16th century urban complex spanning a fortified radius of ~25 km, enclosing Kamalapur, Anegundi, Kadirampura, and Nagenahalli.</w:t>
        <w:br/>
        <w:t>• Spatial Layer E — Surrounding Settlement Environs: Historic fortified suburbs including Anegundi (north bank fortified citadel), Kamalapuram, Kaddiramapuram, and Malpanagudi.</w:t>
        <w:br/>
        <w:t>• Spatial Layer F — Hosapete (Hospet): The modern commercial railway hub and gateway city (historical Nagalapura, founded by Krishnadevaraya c. 1520 in honor of Queen Mother Nagala Devi), located 12 km southwest.</w:t>
        <w:br/>
        <w:t>• Spatial Layer G — Vijayanagara District: The modern administrative revenue district created in 2021 with headquarters at Hosapete.</w:t>
        <w:br/>
        <w:t>• Spatial Layer H — Broader Karnataka &amp; Deccan Context: The macro-regional Deccan context linking Vijayanagara architectural idioms to Chalukyan, Hoysala, Rashtrakuta, and Kakatiya lineages.</w:t>
      </w:r>
    </w:p>
    <w:p>
      <w:pPr>
        <w:keepNext/>
        <w:spacing w:before="280" w:after="80"/>
      </w:pPr>
      <w:r>
        <w:rPr>
          <w:rFonts w:ascii="Georgia" w:hAnsi="Georgia"/>
          <w:b/>
          <w:color w:val="8C2D19"/>
          <w:sz w:val="30"/>
        </w:rPr>
        <w:t>3. Multi-Tier Tiered Introductions</w:t>
      </w:r>
    </w:p>
    <w:p>
      <w:pPr>
        <w:keepNext/>
        <w:spacing w:before="200" w:after="60"/>
      </w:pPr>
      <w:r>
        <w:rPr>
          <w:rFonts w:ascii="Georgia" w:hAnsi="Georgia"/>
          <w:b/>
          <w:color w:val="3C3228"/>
          <w:sz w:val="25"/>
        </w:rPr>
        <w:t>One-Line Definition</w:t>
      </w:r>
    </w:p>
    <w:p>
      <w:pPr>
        <w:spacing w:after="100" w:line="276" w:lineRule="auto"/>
      </w:pPr>
      <w:r>
        <w:rPr>
          <w:i/>
        </w:rPr>
        <w:t>Hampi is a UNESCO World Heritage Site in Karnataka, India, preserving the monumental granite ruins, sacred riverine landscape, and sophisticated urban-hydraulic civilization of Vijayanagara, the 14th-to-16th-century capital of Southern India's greatest medieval empire.</w:t>
      </w:r>
    </w:p>
    <w:p>
      <w:pPr>
        <w:keepNext/>
        <w:spacing w:before="200" w:after="60"/>
      </w:pPr>
      <w:r>
        <w:rPr>
          <w:rFonts w:ascii="Georgia" w:hAnsi="Georgia"/>
          <w:b/>
          <w:color w:val="3C3228"/>
          <w:sz w:val="25"/>
        </w:rPr>
        <w:t>100-Word Overview</w:t>
      </w:r>
    </w:p>
    <w:p>
      <w:pPr>
        <w:spacing w:after="100" w:line="276" w:lineRule="auto"/>
      </w:pPr>
      <w:r>
        <w:t>Hampi, located along the Tungabhadra River in Karnataka's Vijayanagara District, is the world-renowned ruined capital of the Vijayanagara Empire (1336–1565 CE). Inscribed as a UNESCO World Heritage Site in 1986, it encompasses over 41 square kilometers of monumental architecture set amidst an ancient granite boulder terrain. From the living 7th-century Virupaksha Temple to the iconic Stone Chariot of Vittala Temple, the royal enclosures, and vast market bazaars, Hampi illustrates the pinnacle of Dravidian art, inter-cultural Vijayanagara architecture, advanced hydraulic engineering, and sacred landscape integration before its catastrophic sack following the Battle of Talikota in 1565.</w:t>
      </w:r>
    </w:p>
    <w:p>
      <w:pPr>
        <w:keepNext/>
        <w:spacing w:before="200" w:after="60"/>
      </w:pPr>
      <w:r>
        <w:rPr>
          <w:rFonts w:ascii="Georgia" w:hAnsi="Georgia"/>
          <w:b/>
          <w:color w:val="3C3228"/>
          <w:sz w:val="25"/>
        </w:rPr>
        <w:t>500-Word Synthesis</w:t>
      </w:r>
    </w:p>
    <w:p>
      <w:pPr>
        <w:spacing w:after="100" w:line="276" w:lineRule="auto"/>
      </w:pPr>
      <w:r>
        <w:t>Spanning the rugged granite hills and fertile riverine terraces of the Tungabhadra basin in central Karnataka, Hampi stands as one of the largest and most spectacular archaeological complexes in Asia. Historically founded in 1336 CE by brothers Harihara I and Bukka I of the Sangama Dynasty under the spiritual guidance of the sage Vidyaranya, the city of Vijayanagara grew rapidly to become the premier political, economic, and cultural metropolis of South India, commanding vast trade networks stretching from the Arabian Sea to the Bay of Bengal.</w:t>
        <w:br/>
        <w:br/>
        <w:t>The urban master plan of Vijayanagara represents an extraordinary synthesis of topography, defense, and sacred geography. Scholars divide the city into two primary functional sectors: the Sacred Centre along the river, punctuated by monumental Dravidian temple complexes with sprawling bazaar streets (such as Virupaksha, Vittala, Achyutaraya, and Krishna complexes), and the Royal Centre to the south, containing defensive enclosures, civic platforms (Mahanavami Dibba), audience halls, water pavilions (Lotus Mahal), and military infrastructure (Elephant Stables).</w:t>
        <w:br/>
        <w:br/>
        <w:t>Hampi's architecture represents a grand climax of South Indian architectural traditions, synthesizing Chola, Hoysala, Chalukya, and Kakatiya elements with innovative Indo-Islamic vaulted styles in secular pavilions. Its structural mastery is reflected in monolithic colossi (Sasivekalu and Kadalekalu Ganeshas, Lakshmi Narasimha), sophisticated musical monolithic pillars, and stone-carved processional chariots. Beyond its monuments, Vijayanagara engineered an extraordinary hydraulic grid of stone aqueducts, check dams (anecuts), and stepped tanks (pushkaranis) that transformed an arid Deccan zone into an agricultural powerhouse.</w:t>
        <w:br/>
        <w:br/>
        <w:t>Following the pivotal Battle of Talikota in January 1565 against the confederated Deccan Sultanates, the imperial capital was sacked and systematically abandoned, while the dynasty shifted eastwards to Penukonda and Chandragiri. Today, Hampi thrives as both a Centrally Protected Archaeological Site and a vibrant 'living heritage' landscape where the unbroken rituals of the Virupaksha Temple and annual festivals draw millions of pilgrims, international scholars, and cultural travelers worldwide.</w:t>
      </w:r>
    </w:p>
    <w:p>
      <w:pPr>
        <w:keepNext/>
        <w:spacing w:before="280" w:after="80"/>
      </w:pPr>
      <w:r>
        <w:rPr>
          <w:rFonts w:ascii="Georgia" w:hAnsi="Georgia"/>
          <w:b/>
          <w:color w:val="8C2D19"/>
          <w:sz w:val="30"/>
        </w:rPr>
        <w:t>4. Document Metadata &amp; Source Attribution</w:t>
      </w:r>
    </w:p>
    <w:p>
      <w:pPr>
        <w:spacing w:after="100" w:line="276" w:lineRule="auto"/>
      </w:pPr>
      <w:r>
        <w:t>• Primary Sources Consulted: Archaeological Survey of India (ASI) Memoir No. 56; UNESCO World Heritage Nomination Dossier #241; Fritz, Michell, &amp; Nagaraja Rao (1984, 1991) 'Where Kings and Gods Meet'; Epigraphia Carnatica Vol. III &amp; IV; Longhurst, A.H. (1917) 'Hampi Ruins Described and Illustrated'.</w:t>
        <w:br/>
        <w:t>• Fact Verification: High Confidence (Tier-1 Government &amp; UNESCO Epigraphical Documentation).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HAM-DOC-01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