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Georgia" w:hAnsi="Georgia"/>
          <w:b/>
          <w:color w:val="8C2D19"/>
          <w:sz w:val="44"/>
        </w:rPr>
        <w:t>02: GEOGRAPHY, TOPOGRAPHY &amp; SACRED LANDSCAPE</w:t>
      </w:r>
    </w:p>
    <w:p>
      <w:pPr>
        <w:spacing w:before="0" w:after="240"/>
      </w:pPr>
      <w:r>
        <w:rPr>
          <w:rFonts w:ascii="Georgia" w:hAnsi="Georgia"/>
          <w:i/>
          <w:color w:val="5A5046"/>
          <w:sz w:val="24"/>
        </w:rPr>
        <w:t>Geological Evolution, Riverine Ecosystems, Defensive Geomorphology, and Urban Topography</w:t>
      </w:r>
    </w:p>
    <w:tbl>
      <w:tblPr>
        <w:tblW w:type="auto" w:w="0"/>
        <w:jc w:val="center"/>
        <w:tblLook w:firstColumn="1" w:firstRow="1" w:lastColumn="0" w:lastRow="0" w:noHBand="0" w:noVBand="1" w:val="04A0"/>
      </w:tblPr>
      <w:tblGrid>
        <w:gridCol w:w="4968"/>
        <w:gridCol w:w="4968"/>
      </w:tblGrid>
      <w:tr>
        <w:tc>
          <w:tcPr>
            <w:tcW w:type="dxa" w:w="2592"/>
            <w:shd w:fill="F2ECE4"/>
            <w:tcMar>
              <w:top w:w="60" w:type="dxa"/>
              <w:bottom w:w="60" w:type="dxa"/>
              <w:left w:w="100" w:type="dxa"/>
              <w:right w:w="100" w:type="dxa"/>
            </w:tcMar>
          </w:tcPr>
          <w:p>
            <w:pPr>
              <w:spacing w:after="0"/>
            </w:pPr>
            <w:r>
              <w:rPr>
                <w:b/>
                <w:color w:val="502814"/>
                <w:sz w:val="19"/>
              </w:rPr>
              <w:t>Project:</w:t>
            </w:r>
          </w:p>
        </w:tc>
        <w:tc>
          <w:tcPr>
            <w:tcW w:type="dxa" w:w="7200"/>
            <w:shd w:fill="FAF7F2"/>
            <w:tcMar>
              <w:top w:w="60" w:type="dxa"/>
              <w:bottom w:w="60" w:type="dxa"/>
              <w:left w:w="100" w:type="dxa"/>
              <w:right w:w="100" w:type="dxa"/>
            </w:tcMar>
          </w:tcPr>
          <w:p>
            <w:pPr>
              <w:spacing w:after="0"/>
            </w:pPr>
            <w:r>
              <w:rPr>
                <w:color w:val="323232"/>
                <w:sz w:val="19"/>
              </w:rPr>
              <w:t>Antigravity Indian Cultural Heritage Knowledge Platform (Hampi, Karnataka)</w:t>
            </w:r>
          </w:p>
        </w:tc>
      </w:tr>
      <w:tr>
        <w:tc>
          <w:tcPr>
            <w:tcW w:type="dxa" w:w="2592"/>
            <w:shd w:fill="F2ECE4"/>
            <w:tcMar>
              <w:top w:w="60" w:type="dxa"/>
              <w:bottom w:w="60" w:type="dxa"/>
              <w:left w:w="100" w:type="dxa"/>
              <w:right w:w="100" w:type="dxa"/>
            </w:tcMar>
          </w:tcPr>
          <w:p>
            <w:pPr>
              <w:spacing w:after="0"/>
            </w:pPr>
            <w:r>
              <w:rPr>
                <w:b/>
                <w:color w:val="502814"/>
                <w:sz w:val="19"/>
              </w:rPr>
              <w:t>Research Team:</w:t>
            </w:r>
          </w:p>
        </w:tc>
        <w:tc>
          <w:tcPr>
            <w:tcW w:type="dxa" w:w="7200"/>
            <w:shd w:fill="FAF7F2"/>
            <w:tcMar>
              <w:top w:w="60" w:type="dxa"/>
              <w:bottom w:w="60" w:type="dxa"/>
              <w:left w:w="100" w:type="dxa"/>
              <w:right w:w="100" w:type="dxa"/>
            </w:tcMar>
          </w:tcPr>
          <w:p>
            <w:pPr>
              <w:spacing w:after="0"/>
            </w:pPr>
            <w:r>
              <w:rPr>
                <w:color w:val="323232"/>
                <w:sz w:val="19"/>
              </w:rPr>
              <w:t>Historians, Epigraphists, Archaeologists, Architectural Historians, Anthropologists, Digital Knowledge Architects</w:t>
            </w:r>
          </w:p>
        </w:tc>
      </w:tr>
      <w:tr>
        <w:tc>
          <w:tcPr>
            <w:tcW w:type="dxa" w:w="2592"/>
            <w:shd w:fill="F2ECE4"/>
            <w:tcMar>
              <w:top w:w="60" w:type="dxa"/>
              <w:bottom w:w="60" w:type="dxa"/>
              <w:left w:w="100" w:type="dxa"/>
              <w:right w:w="100" w:type="dxa"/>
            </w:tcMar>
          </w:tcPr>
          <w:p>
            <w:pPr>
              <w:spacing w:after="0"/>
            </w:pPr>
            <w:r>
              <w:rPr>
                <w:b/>
                <w:color w:val="502814"/>
                <w:sz w:val="19"/>
              </w:rPr>
              <w:t>Source Hierarchy:</w:t>
            </w:r>
          </w:p>
        </w:tc>
        <w:tc>
          <w:tcPr>
            <w:tcW w:type="dxa" w:w="7200"/>
            <w:shd w:fill="FAF7F2"/>
            <w:tcMar>
              <w:top w:w="60" w:type="dxa"/>
              <w:bottom w:w="60" w:type="dxa"/>
              <w:left w:w="100" w:type="dxa"/>
              <w:right w:w="100" w:type="dxa"/>
            </w:tcMar>
          </w:tcPr>
          <w:p>
            <w:pPr>
              <w:spacing w:after="0"/>
            </w:pPr>
            <w:r>
              <w:rPr>
                <w:color w:val="323232"/>
                <w:sz w:val="19"/>
              </w:rPr>
              <w:t>Tier 1 (UNESCO, ASI, State Epigraphy) &amp; Tier 2 (Academic Monographs &amp; Journals)</w:t>
            </w:r>
          </w:p>
        </w:tc>
      </w:tr>
      <w:tr>
        <w:tc>
          <w:tcPr>
            <w:tcW w:type="dxa" w:w="2592"/>
            <w:shd w:fill="F2ECE4"/>
            <w:tcMar>
              <w:top w:w="60" w:type="dxa"/>
              <w:bottom w:w="60" w:type="dxa"/>
              <w:left w:w="100" w:type="dxa"/>
              <w:right w:w="100" w:type="dxa"/>
            </w:tcMar>
          </w:tcPr>
          <w:p>
            <w:pPr>
              <w:spacing w:after="0"/>
            </w:pPr>
            <w:r>
              <w:rPr>
                <w:b/>
                <w:color w:val="502814"/>
                <w:sz w:val="19"/>
              </w:rPr>
              <w:t>Geographical Context:</w:t>
            </w:r>
          </w:p>
        </w:tc>
        <w:tc>
          <w:tcPr>
            <w:tcW w:type="dxa" w:w="7200"/>
            <w:shd w:fill="FAF7F2"/>
            <w:tcMar>
              <w:top w:w="60" w:type="dxa"/>
              <w:bottom w:w="60" w:type="dxa"/>
              <w:left w:w="100" w:type="dxa"/>
              <w:right w:w="100" w:type="dxa"/>
            </w:tcMar>
          </w:tcPr>
          <w:p>
            <w:pPr>
              <w:spacing w:after="0"/>
            </w:pPr>
            <w:r>
              <w:rPr>
                <w:color w:val="323232"/>
                <w:sz w:val="19"/>
              </w:rPr>
              <w:t>Hampi World Heritage Site, Vijayanagara Metropolitan Region, Bellary/Vijayanagara Dist, Karnataka</w:t>
            </w:r>
          </w:p>
        </w:tc>
      </w:tr>
    </w:tbl>
    <w:p>
      <w:pPr>
        <w:spacing w:after="160"/>
      </w:pPr>
    </w:p>
    <w:p>
      <w:pPr>
        <w:keepNext/>
        <w:spacing w:before="280" w:after="80"/>
      </w:pPr>
      <w:r>
        <w:rPr>
          <w:rFonts w:ascii="Georgia" w:hAnsi="Georgia"/>
          <w:b/>
          <w:color w:val="8C2D19"/>
          <w:sz w:val="30"/>
        </w:rPr>
        <w:t>1. Geological Evolution and Deccan Geomorphology</w:t>
      </w:r>
    </w:p>
    <w:p>
      <w:pPr>
        <w:spacing w:after="100" w:line="276" w:lineRule="auto"/>
      </w:pPr>
      <w:r>
        <w:t>The landscape of Hampi belongs geologically to the Dharwar Craton of the Indian Shield, composed primarily of Archean Closepet Granite formations dating back approximately 2.5 to 3.0 billion years. Over eons, spheroidal weathering, exfoliation, and chemical erosion sculpted massive granite batholiths into the dramatic, surreal boulder fields, tors, and balancing monoliths that define the visual horizon today.</w:t>
      </w:r>
    </w:p>
    <w:tbl>
      <w:tblPr>
        <w:tblW w:type="auto" w:w="0"/>
        <w:jc w:val="center"/>
        <w:tblLook w:firstColumn="1" w:firstRow="1" w:lastColumn="0" w:lastRow="0" w:noHBand="0" w:noVBand="1" w:val="04A0"/>
      </w:tblPr>
      <w:tblGrid>
        <w:gridCol w:w="9936"/>
      </w:tblGrid>
      <w:tr>
        <w:tc>
          <w:tcPr>
            <w:tcW w:type="dxa" w:w="9792"/>
            <w:shd w:fill="FFF8EE"/>
            <w:tcMar>
              <w:top w:w="120" w:type="dxa"/>
              <w:bottom w:w="120" w:type="dxa"/>
              <w:left w:w="180" w:type="dxa"/>
              <w:right w:w="180" w:type="dxa"/>
            </w:tcMar>
            <w:tcBorders>
              <w:top w:val="none" w:sz="0" w:space="0" w:color="auto"/>
              <w:left w:val="single" w:sz="24" w:space="0" w:color="C27D38"/>
              <w:bottom w:val="none" w:sz="0" w:space="0" w:color="auto"/>
              <w:right w:val="none" w:sz="0" w:space="0" w:color="auto"/>
            </w:tcBorders>
          </w:tcPr>
          <w:p>
            <w:pPr>
              <w:spacing w:after="60"/>
            </w:pPr>
            <w:r>
              <w:rPr>
                <w:b/>
                <w:color w:val="A03C14"/>
                <w:sz w:val="19"/>
              </w:rPr>
              <w:t>[GEOLOGICAL AND ARCHITECTURAL FACT]</w:t>
              <w:br/>
            </w:r>
            <w:r>
              <w:rPr>
                <w:color w:val="3C3228"/>
                <w:sz w:val="20"/>
              </w:rPr>
              <w:t>GEOLOGICAL &amp; ARCHAEOLOGICAL FACT: The massive granite boulders of Hampi are composed of pink, grey, and porphyritic granites with high silica content and quartz intrusions. Vijayanagara masons exploited the natural horizontal and vertical sheet-cleavage fractures of this granite using the 'wood-wedge and water' splitting technique, shaping thousands of architectural blocks without explosives.</w:t>
            </w:r>
          </w:p>
        </w:tc>
      </w:tr>
    </w:tbl>
    <w:p>
      <w:pPr>
        <w:spacing w:after="80"/>
      </w:pPr>
    </w:p>
    <w:p>
      <w:pPr>
        <w:keepNext/>
        <w:spacing w:before="200" w:after="60"/>
      </w:pPr>
      <w:r>
        <w:rPr>
          <w:rFonts w:ascii="Georgia" w:hAnsi="Georgia"/>
          <w:b/>
          <w:color w:val="3C3228"/>
          <w:sz w:val="25"/>
        </w:rPr>
        <w:t>Topographical Profile &amp; Sacred Hills</w:t>
      </w:r>
    </w:p>
    <w:tbl>
      <w:tblPr>
        <w:tblW w:type="auto" w:w="0"/>
        <w:jc w:val="center"/>
        <w:tblLook w:firstColumn="1" w:firstRow="1" w:lastColumn="0" w:lastRow="0" w:noHBand="0" w:noVBand="1" w:val="04A0"/>
      </w:tblPr>
      <w:tblGrid>
        <w:gridCol w:w="2484"/>
        <w:gridCol w:w="2484"/>
        <w:gridCol w:w="2484"/>
        <w:gridCol w:w="2484"/>
      </w:tblGrid>
      <w:tr>
        <w:tc>
          <w:tcPr>
            <w:tcW w:type="dxa" w:w="2160"/>
            <w:shd w:fill="78321E"/>
            <w:tcMar>
              <w:top w:w="100" w:type="dxa"/>
              <w:bottom w:w="100" w:type="dxa"/>
              <w:left w:w="120" w:type="dxa"/>
              <w:right w:w="120" w:type="dxa"/>
            </w:tcMar>
          </w:tcPr>
          <w:p>
            <w:pPr>
              <w:spacing w:after="0"/>
            </w:pPr>
            <w:r>
              <w:rPr>
                <w:b/>
                <w:color w:val="FFFFFF"/>
                <w:sz w:val="19"/>
              </w:rPr>
              <w:t>Sacred / Strategic Hill</w:t>
            </w:r>
          </w:p>
        </w:tc>
        <w:tc>
          <w:tcPr>
            <w:tcW w:type="dxa" w:w="1440"/>
            <w:shd w:fill="78321E"/>
            <w:tcMar>
              <w:top w:w="100" w:type="dxa"/>
              <w:bottom w:w="100" w:type="dxa"/>
              <w:left w:w="120" w:type="dxa"/>
              <w:right w:w="120" w:type="dxa"/>
            </w:tcMar>
          </w:tcPr>
          <w:p>
            <w:pPr>
              <w:spacing w:after="0"/>
            </w:pPr>
            <w:r>
              <w:rPr>
                <w:b/>
                <w:color w:val="FFFFFF"/>
                <w:sz w:val="19"/>
              </w:rPr>
              <w:t>Elevation (MSL)</w:t>
            </w:r>
          </w:p>
        </w:tc>
        <w:tc>
          <w:tcPr>
            <w:tcW w:type="dxa" w:w="2592"/>
            <w:shd w:fill="78321E"/>
            <w:tcMar>
              <w:top w:w="100" w:type="dxa"/>
              <w:bottom w:w="100" w:type="dxa"/>
              <w:left w:w="120" w:type="dxa"/>
              <w:right w:w="120" w:type="dxa"/>
            </w:tcMar>
          </w:tcPr>
          <w:p>
            <w:pPr>
              <w:spacing w:after="0"/>
            </w:pPr>
            <w:r>
              <w:rPr>
                <w:b/>
                <w:color w:val="FFFFFF"/>
                <w:sz w:val="19"/>
              </w:rPr>
              <w:t>Geographic Orientation</w:t>
            </w:r>
          </w:p>
        </w:tc>
        <w:tc>
          <w:tcPr>
            <w:tcW w:type="dxa" w:w="3600"/>
            <w:shd w:fill="78321E"/>
            <w:tcMar>
              <w:top w:w="100" w:type="dxa"/>
              <w:bottom w:w="100" w:type="dxa"/>
              <w:left w:w="120" w:type="dxa"/>
              <w:right w:w="120" w:type="dxa"/>
            </w:tcMar>
          </w:tcPr>
          <w:p>
            <w:pPr>
              <w:spacing w:after="0"/>
            </w:pPr>
            <w:r>
              <w:rPr>
                <w:b/>
                <w:color w:val="FFFFFF"/>
                <w:sz w:val="19"/>
              </w:rPr>
              <w:t>Cultural &amp; Strategic Significance</w:t>
            </w:r>
          </w:p>
        </w:tc>
      </w:tr>
      <w:tr>
        <w:tc>
          <w:tcPr>
            <w:tcW w:type="dxa" w:w="2160"/>
            <w:shd w:fill="FAF6F0"/>
            <w:tcMar>
              <w:top w:w="80" w:type="dxa"/>
              <w:bottom w:w="80" w:type="dxa"/>
              <w:left w:w="100" w:type="dxa"/>
              <w:right w:w="100" w:type="dxa"/>
            </w:tcMar>
          </w:tcPr>
          <w:p>
            <w:pPr>
              <w:spacing w:after="0"/>
            </w:pPr>
            <w:r>
              <w:rPr>
                <w:color w:val="2D2D2D"/>
                <w:sz w:val="18"/>
              </w:rPr>
              <w:t>Matanga Hill</w:t>
            </w:r>
          </w:p>
        </w:tc>
        <w:tc>
          <w:tcPr>
            <w:tcW w:type="dxa" w:w="1440"/>
            <w:shd w:fill="FAF6F0"/>
            <w:tcMar>
              <w:top w:w="80" w:type="dxa"/>
              <w:bottom w:w="80" w:type="dxa"/>
              <w:left w:w="100" w:type="dxa"/>
              <w:right w:w="100" w:type="dxa"/>
            </w:tcMar>
          </w:tcPr>
          <w:p>
            <w:pPr>
              <w:spacing w:after="0"/>
            </w:pPr>
            <w:r>
              <w:rPr>
                <w:color w:val="2D2D2D"/>
                <w:sz w:val="18"/>
              </w:rPr>
              <w:t>619 m</w:t>
            </w:r>
          </w:p>
        </w:tc>
        <w:tc>
          <w:tcPr>
            <w:tcW w:type="dxa" w:w="2592"/>
            <w:shd w:fill="FAF6F0"/>
            <w:tcMar>
              <w:top w:w="80" w:type="dxa"/>
              <w:bottom w:w="80" w:type="dxa"/>
              <w:left w:w="100" w:type="dxa"/>
              <w:right w:w="100" w:type="dxa"/>
            </w:tcMar>
          </w:tcPr>
          <w:p>
            <w:pPr>
              <w:spacing w:after="0"/>
            </w:pPr>
            <w:r>
              <w:rPr>
                <w:color w:val="2D2D2D"/>
                <w:sz w:val="18"/>
              </w:rPr>
              <w:t>Central Sacred Core, south of Tungabhadra</w:t>
            </w:r>
          </w:p>
        </w:tc>
        <w:tc>
          <w:tcPr>
            <w:tcW w:type="dxa" w:w="3600"/>
            <w:shd w:fill="FAF6F0"/>
            <w:tcMar>
              <w:top w:w="80" w:type="dxa"/>
              <w:bottom w:w="80" w:type="dxa"/>
              <w:left w:w="100" w:type="dxa"/>
              <w:right w:w="100" w:type="dxa"/>
            </w:tcMar>
          </w:tcPr>
          <w:p>
            <w:pPr>
              <w:spacing w:after="0"/>
            </w:pPr>
            <w:r>
              <w:rPr>
                <w:color w:val="2D2D2D"/>
                <w:sz w:val="18"/>
              </w:rPr>
              <w:t>Highest elevation in core area; 360-degree military watchpoint; associated with sage Matanga &amp; Sugriva refuge.</w:t>
            </w:r>
          </w:p>
        </w:tc>
      </w:tr>
      <w:tr>
        <w:tc>
          <w:tcPr>
            <w:tcW w:type="dxa" w:w="2160"/>
            <w:shd w:fill="FFFFFF"/>
            <w:tcMar>
              <w:top w:w="80" w:type="dxa"/>
              <w:bottom w:w="80" w:type="dxa"/>
              <w:left w:w="100" w:type="dxa"/>
              <w:right w:w="100" w:type="dxa"/>
            </w:tcMar>
          </w:tcPr>
          <w:p>
            <w:pPr>
              <w:spacing w:after="0"/>
            </w:pPr>
            <w:r>
              <w:rPr>
                <w:color w:val="2D2D2D"/>
                <w:sz w:val="18"/>
              </w:rPr>
              <w:t>Hemakuta Hill</w:t>
            </w:r>
          </w:p>
        </w:tc>
        <w:tc>
          <w:tcPr>
            <w:tcW w:type="dxa" w:w="1440"/>
            <w:shd w:fill="FFFFFF"/>
            <w:tcMar>
              <w:top w:w="80" w:type="dxa"/>
              <w:bottom w:w="80" w:type="dxa"/>
              <w:left w:w="100" w:type="dxa"/>
              <w:right w:w="100" w:type="dxa"/>
            </w:tcMar>
          </w:tcPr>
          <w:p>
            <w:pPr>
              <w:spacing w:after="0"/>
            </w:pPr>
            <w:r>
              <w:rPr>
                <w:color w:val="2D2D2D"/>
                <w:sz w:val="18"/>
              </w:rPr>
              <w:t>584 m</w:t>
            </w:r>
          </w:p>
        </w:tc>
        <w:tc>
          <w:tcPr>
            <w:tcW w:type="dxa" w:w="2592"/>
            <w:shd w:fill="FFFFFF"/>
            <w:tcMar>
              <w:top w:w="80" w:type="dxa"/>
              <w:bottom w:w="80" w:type="dxa"/>
              <w:left w:w="100" w:type="dxa"/>
              <w:right w:w="100" w:type="dxa"/>
            </w:tcMar>
          </w:tcPr>
          <w:p>
            <w:pPr>
              <w:spacing w:after="0"/>
            </w:pPr>
            <w:r>
              <w:rPr>
                <w:color w:val="2D2D2D"/>
                <w:sz w:val="18"/>
              </w:rPr>
              <w:t>Immediately south of Virupaksha Temple</w:t>
            </w:r>
          </w:p>
        </w:tc>
        <w:tc>
          <w:tcPr>
            <w:tcW w:type="dxa" w:w="3600"/>
            <w:shd w:fill="FFFFFF"/>
            <w:tcMar>
              <w:top w:w="80" w:type="dxa"/>
              <w:bottom w:w="80" w:type="dxa"/>
              <w:left w:w="100" w:type="dxa"/>
              <w:right w:w="100" w:type="dxa"/>
            </w:tcMar>
          </w:tcPr>
          <w:p>
            <w:pPr>
              <w:spacing w:after="0"/>
            </w:pPr>
            <w:r>
              <w:rPr>
                <w:color w:val="2D2D2D"/>
                <w:sz w:val="18"/>
              </w:rPr>
              <w:t>Granite plateau hosting &gt;35 pre-Vijayanagara (9th-14th c.) temples; myth of Kamadevas immolation.</w:t>
            </w:r>
          </w:p>
        </w:tc>
      </w:tr>
      <w:tr>
        <w:tc>
          <w:tcPr>
            <w:tcW w:type="dxa" w:w="2160"/>
            <w:shd w:fill="FAF6F0"/>
            <w:tcMar>
              <w:top w:w="80" w:type="dxa"/>
              <w:bottom w:w="80" w:type="dxa"/>
              <w:left w:w="100" w:type="dxa"/>
              <w:right w:w="100" w:type="dxa"/>
            </w:tcMar>
          </w:tcPr>
          <w:p>
            <w:pPr>
              <w:spacing w:after="0"/>
            </w:pPr>
            <w:r>
              <w:rPr>
                <w:color w:val="2D2D2D"/>
                <w:sz w:val="18"/>
              </w:rPr>
              <w:t>Anjanadri Hill</w:t>
            </w:r>
          </w:p>
        </w:tc>
        <w:tc>
          <w:tcPr>
            <w:tcW w:type="dxa" w:w="1440"/>
            <w:shd w:fill="FAF6F0"/>
            <w:tcMar>
              <w:top w:w="80" w:type="dxa"/>
              <w:bottom w:w="80" w:type="dxa"/>
              <w:left w:w="100" w:type="dxa"/>
              <w:right w:w="100" w:type="dxa"/>
            </w:tcMar>
          </w:tcPr>
          <w:p>
            <w:pPr>
              <w:spacing w:after="0"/>
            </w:pPr>
            <w:r>
              <w:rPr>
                <w:color w:val="2D2D2D"/>
                <w:sz w:val="18"/>
              </w:rPr>
              <w:t>580 m (North Bank)</w:t>
            </w:r>
          </w:p>
        </w:tc>
        <w:tc>
          <w:tcPr>
            <w:tcW w:type="dxa" w:w="2592"/>
            <w:shd w:fill="FAF6F0"/>
            <w:tcMar>
              <w:top w:w="80" w:type="dxa"/>
              <w:bottom w:w="80" w:type="dxa"/>
              <w:left w:w="100" w:type="dxa"/>
              <w:right w:w="100" w:type="dxa"/>
            </w:tcMar>
          </w:tcPr>
          <w:p>
            <w:pPr>
              <w:spacing w:after="0"/>
            </w:pPr>
            <w:r>
              <w:rPr>
                <w:color w:val="2D2D2D"/>
                <w:sz w:val="18"/>
              </w:rPr>
              <w:t>Anegundi Sector, north of Tungabhadra</w:t>
            </w:r>
          </w:p>
        </w:tc>
        <w:tc>
          <w:tcPr>
            <w:tcW w:type="dxa" w:w="3600"/>
            <w:shd w:fill="FAF6F0"/>
            <w:tcMar>
              <w:top w:w="80" w:type="dxa"/>
              <w:bottom w:w="80" w:type="dxa"/>
              <w:left w:w="100" w:type="dxa"/>
              <w:right w:w="100" w:type="dxa"/>
            </w:tcMar>
          </w:tcPr>
          <w:p>
            <w:pPr>
              <w:spacing w:after="0"/>
            </w:pPr>
            <w:r>
              <w:rPr>
                <w:color w:val="2D2D2D"/>
                <w:sz w:val="18"/>
              </w:rPr>
              <w:t>Steep rocky pinnacle crowned by Hanuman shrine; revered in regional tradition as birth site of Hanuman.</w:t>
            </w:r>
          </w:p>
        </w:tc>
      </w:tr>
      <w:tr>
        <w:tc>
          <w:tcPr>
            <w:tcW w:type="dxa" w:w="2160"/>
            <w:shd w:fill="FFFFFF"/>
            <w:tcMar>
              <w:top w:w="80" w:type="dxa"/>
              <w:bottom w:w="80" w:type="dxa"/>
              <w:left w:w="100" w:type="dxa"/>
              <w:right w:w="100" w:type="dxa"/>
            </w:tcMar>
          </w:tcPr>
          <w:p>
            <w:pPr>
              <w:spacing w:after="0"/>
            </w:pPr>
            <w:r>
              <w:rPr>
                <w:color w:val="2D2D2D"/>
                <w:sz w:val="18"/>
              </w:rPr>
              <w:t>Malyavanta Hill</w:t>
            </w:r>
          </w:p>
        </w:tc>
        <w:tc>
          <w:tcPr>
            <w:tcW w:type="dxa" w:w="1440"/>
            <w:shd w:fill="FFFFFF"/>
            <w:tcMar>
              <w:top w:w="80" w:type="dxa"/>
              <w:bottom w:w="80" w:type="dxa"/>
              <w:left w:w="100" w:type="dxa"/>
              <w:right w:w="100" w:type="dxa"/>
            </w:tcMar>
          </w:tcPr>
          <w:p>
            <w:pPr>
              <w:spacing w:after="0"/>
            </w:pPr>
            <w:r>
              <w:rPr>
                <w:color w:val="2D2D2D"/>
                <w:sz w:val="18"/>
              </w:rPr>
              <w:t>590 m</w:t>
            </w:r>
          </w:p>
        </w:tc>
        <w:tc>
          <w:tcPr>
            <w:tcW w:type="dxa" w:w="2592"/>
            <w:shd w:fill="FFFFFF"/>
            <w:tcMar>
              <w:top w:w="80" w:type="dxa"/>
              <w:bottom w:w="80" w:type="dxa"/>
              <w:left w:w="100" w:type="dxa"/>
              <w:right w:w="100" w:type="dxa"/>
            </w:tcMar>
          </w:tcPr>
          <w:p>
            <w:pPr>
              <w:spacing w:after="0"/>
            </w:pPr>
            <w:r>
              <w:rPr>
                <w:color w:val="2D2D2D"/>
                <w:sz w:val="18"/>
              </w:rPr>
              <w:t>Eastern Sector / Ring Road approach</w:t>
            </w:r>
          </w:p>
        </w:tc>
        <w:tc>
          <w:tcPr>
            <w:tcW w:type="dxa" w:w="3600"/>
            <w:shd w:fill="FFFFFF"/>
            <w:tcMar>
              <w:top w:w="80" w:type="dxa"/>
              <w:bottom w:w="80" w:type="dxa"/>
              <w:left w:w="100" w:type="dxa"/>
              <w:right w:w="100" w:type="dxa"/>
            </w:tcMar>
          </w:tcPr>
          <w:p>
            <w:pPr>
              <w:spacing w:after="0"/>
            </w:pPr>
            <w:r>
              <w:rPr>
                <w:color w:val="2D2D2D"/>
                <w:sz w:val="18"/>
              </w:rPr>
              <w:t>Massive boulder ridge hosting Malyavanta Raghunatha Temple; associated with Ramas monsoon halt.</w:t>
            </w:r>
          </w:p>
        </w:tc>
      </w:tr>
      <w:tr>
        <w:tc>
          <w:tcPr>
            <w:tcW w:type="dxa" w:w="2160"/>
            <w:shd w:fill="FAF6F0"/>
            <w:tcMar>
              <w:top w:w="80" w:type="dxa"/>
              <w:bottom w:w="80" w:type="dxa"/>
              <w:left w:w="100" w:type="dxa"/>
              <w:right w:w="100" w:type="dxa"/>
            </w:tcMar>
          </w:tcPr>
          <w:p>
            <w:pPr>
              <w:spacing w:after="0"/>
            </w:pPr>
            <w:r>
              <w:rPr>
                <w:color w:val="2D2D2D"/>
                <w:sz w:val="18"/>
              </w:rPr>
              <w:t>Rishimukha Hill</w:t>
            </w:r>
          </w:p>
        </w:tc>
        <w:tc>
          <w:tcPr>
            <w:tcW w:type="dxa" w:w="1440"/>
            <w:shd w:fill="FAF6F0"/>
            <w:tcMar>
              <w:top w:w="80" w:type="dxa"/>
              <w:bottom w:w="80" w:type="dxa"/>
              <w:left w:w="100" w:type="dxa"/>
              <w:right w:w="100" w:type="dxa"/>
            </w:tcMar>
          </w:tcPr>
          <w:p>
            <w:pPr>
              <w:spacing w:after="0"/>
            </w:pPr>
            <w:r>
              <w:rPr>
                <w:color w:val="2D2D2D"/>
                <w:sz w:val="18"/>
              </w:rPr>
              <w:t>565 m</w:t>
            </w:r>
          </w:p>
        </w:tc>
        <w:tc>
          <w:tcPr>
            <w:tcW w:type="dxa" w:w="2592"/>
            <w:shd w:fill="FAF6F0"/>
            <w:tcMar>
              <w:top w:w="80" w:type="dxa"/>
              <w:bottom w:w="80" w:type="dxa"/>
              <w:left w:w="100" w:type="dxa"/>
              <w:right w:w="100" w:type="dxa"/>
            </w:tcMar>
          </w:tcPr>
          <w:p>
            <w:pPr>
              <w:spacing w:after="0"/>
            </w:pPr>
            <w:r>
              <w:rPr>
                <w:color w:val="2D2D2D"/>
                <w:sz w:val="18"/>
              </w:rPr>
              <w:t>Island-peninsula in Tungabhadra gorge</w:t>
            </w:r>
          </w:p>
        </w:tc>
        <w:tc>
          <w:tcPr>
            <w:tcW w:type="dxa" w:w="3600"/>
            <w:shd w:fill="FAF6F0"/>
            <w:tcMar>
              <w:top w:w="80" w:type="dxa"/>
              <w:bottom w:w="80" w:type="dxa"/>
              <w:left w:w="100" w:type="dxa"/>
              <w:right w:w="100" w:type="dxa"/>
            </w:tcMar>
          </w:tcPr>
          <w:p>
            <w:pPr>
              <w:spacing w:after="0"/>
            </w:pPr>
            <w:r>
              <w:rPr>
                <w:color w:val="2D2D2D"/>
                <w:sz w:val="18"/>
              </w:rPr>
              <w:t>Isolated boulder retreat; site of Rama-Sugriva alliance in regional mythological tradition.</w:t>
            </w:r>
          </w:p>
        </w:tc>
      </w:tr>
      <w:tr>
        <w:tc>
          <w:tcPr>
            <w:tcW w:type="dxa" w:w="2160"/>
            <w:shd w:fill="FFFFFF"/>
            <w:tcMar>
              <w:top w:w="80" w:type="dxa"/>
              <w:bottom w:w="80" w:type="dxa"/>
              <w:left w:w="100" w:type="dxa"/>
              <w:right w:w="100" w:type="dxa"/>
            </w:tcMar>
          </w:tcPr>
          <w:p>
            <w:pPr>
              <w:spacing w:after="0"/>
            </w:pPr>
            <w:r>
              <w:rPr>
                <w:color w:val="2D2D2D"/>
                <w:sz w:val="18"/>
              </w:rPr>
              <w:t>Gandhamadana Hill</w:t>
            </w:r>
          </w:p>
        </w:tc>
        <w:tc>
          <w:tcPr>
            <w:tcW w:type="dxa" w:w="1440"/>
            <w:shd w:fill="FFFFFF"/>
            <w:tcMar>
              <w:top w:w="80" w:type="dxa"/>
              <w:bottom w:w="80" w:type="dxa"/>
              <w:left w:w="100" w:type="dxa"/>
              <w:right w:w="100" w:type="dxa"/>
            </w:tcMar>
          </w:tcPr>
          <w:p>
            <w:pPr>
              <w:spacing w:after="0"/>
            </w:pPr>
            <w:r>
              <w:rPr>
                <w:color w:val="2D2D2D"/>
                <w:sz w:val="18"/>
              </w:rPr>
              <w:t>572 m</w:t>
            </w:r>
          </w:p>
        </w:tc>
        <w:tc>
          <w:tcPr>
            <w:tcW w:type="dxa" w:w="2592"/>
            <w:shd w:fill="FFFFFF"/>
            <w:tcMar>
              <w:top w:w="80" w:type="dxa"/>
              <w:bottom w:w="80" w:type="dxa"/>
              <w:left w:w="100" w:type="dxa"/>
              <w:right w:w="100" w:type="dxa"/>
            </w:tcMar>
          </w:tcPr>
          <w:p>
            <w:pPr>
              <w:spacing w:after="0"/>
            </w:pPr>
            <w:r>
              <w:rPr>
                <w:color w:val="2D2D2D"/>
                <w:sz w:val="18"/>
              </w:rPr>
              <w:t>Northeast of Sacred Centre</w:t>
            </w:r>
          </w:p>
        </w:tc>
        <w:tc>
          <w:tcPr>
            <w:tcW w:type="dxa" w:w="3600"/>
            <w:shd w:fill="FFFFFF"/>
            <w:tcMar>
              <w:top w:w="80" w:type="dxa"/>
              <w:bottom w:w="80" w:type="dxa"/>
              <w:left w:w="100" w:type="dxa"/>
              <w:right w:w="100" w:type="dxa"/>
            </w:tcMar>
          </w:tcPr>
          <w:p>
            <w:pPr>
              <w:spacing w:after="0"/>
            </w:pPr>
            <w:r>
              <w:rPr>
                <w:color w:val="2D2D2D"/>
                <w:sz w:val="18"/>
              </w:rPr>
              <w:t>Strategic boulder massif flanking river crossing points towards Anegundi.</w:t>
            </w:r>
          </w:p>
        </w:tc>
      </w:tr>
    </w:tbl>
    <w:p>
      <w:pPr>
        <w:spacing w:after="120"/>
      </w:pPr>
    </w:p>
    <w:p>
      <w:pPr>
        <w:keepNext/>
        <w:spacing w:before="280" w:after="80"/>
      </w:pPr>
      <w:r>
        <w:rPr>
          <w:rFonts w:ascii="Georgia" w:hAnsi="Georgia"/>
          <w:b/>
          <w:color w:val="8C2D19"/>
          <w:sz w:val="30"/>
        </w:rPr>
        <w:t>2. The Tungabhadra River: Hydrological Spine and Defense</w:t>
      </w:r>
    </w:p>
    <w:p>
      <w:pPr>
        <w:spacing w:after="100" w:line="276" w:lineRule="auto"/>
      </w:pPr>
      <w:r>
        <w:t>The Tungabhadra River (formed by the confluence of Tunga and Bhadra rivers at Kudli in Shivamogga) flows in a sweeping northeasterly arc through a constricted gorge of hard granitic rock at Hampi. This turbulent, rocky riverbed created an insurmountable natural moat guarding the northern boundary of the capital.</w:t>
      </w:r>
    </w:p>
    <w:p>
      <w:pPr>
        <w:spacing w:after="100" w:line="276" w:lineRule="auto"/>
      </w:pPr>
      <w:r>
        <w:t>Hydrological Characteristics:</w:t>
        <w:br/>
        <w:t>• Extreme Seasonal Flux: Ranging from turbulent monsoon torrents (July–September) with discharge exceeding 150,000 cusecs to docile winter channels exposing expansive rocky riverbeds.</w:t>
        <w:br/>
        <w:t>• Rapids &amp; Choke Points: The river forces through granite fissures barely 30 meters wide at the Kotitirtha and Chakra Tirtha whirlpool bends.</w:t>
        <w:br/>
        <w:t>• Coracle Navigation: Traditional circular woven-cane and buffalo-hide coracles (Harigolu/Teppa), documented by Portuguese travellers Domingo Paes and Fernao Nuniz in the 1520s, remain in continuous operation today.</w:t>
      </w:r>
    </w:p>
    <w:p>
      <w:pPr>
        <w:keepNext/>
        <w:spacing w:before="280" w:after="80"/>
      </w:pPr>
      <w:r>
        <w:rPr>
          <w:rFonts w:ascii="Georgia" w:hAnsi="Georgia"/>
          <w:b/>
          <w:color w:val="8C2D19"/>
          <w:sz w:val="30"/>
        </w:rPr>
        <w:t>3. Climate, Soil, and Flora/Fauna Ecosystems</w:t>
      </w:r>
    </w:p>
    <w:p>
      <w:pPr>
        <w:spacing w:after="100" w:line="276" w:lineRule="auto"/>
      </w:pPr>
      <w:r>
        <w:t>• Agro-Climatic Zone: Semi-arid Deccan Plateau (Köppen: BSh). Annual average rainfall is low (550–650 mm), heavily concentrated during the Southwest Monsoon.</w:t>
        <w:br/>
        <w:t>• Soils: Rich alluvial loams in riverine pockets contrasted against red gravelly alfisols and black cotton soils (regur) in surrounding agricultural zones.</w:t>
        <w:br/>
        <w:t>• Flora: Tropical dry deciduous and thorny scrub vegetation; species include neem (Azadirachta indica), banyan (Ficus benghalensis), tamarind (Tamarindus indica), palmyra palm (Borassus flabellifer), custard apple (Annona squamosa), and scrub acacia.</w:t>
        <w:br/>
        <w:t>• Fauna &amp; Conservation: Habitat for sloth bears (protected at nearby Daroji Sloth Bear Sanctuary, est. 1994), leopards (Panthera pardus), Indian foxes, star tortoises, mugger crocodiles in the Tungabhadra, and over 200 species of resident and migratory birds including the rare yellow-throated bulbul (Pycnonotus xantholaemus).</w:t>
      </w:r>
    </w:p>
    <w:p>
      <w:pPr>
        <w:keepNext/>
        <w:spacing w:before="280" w:after="80"/>
      </w:pPr>
      <w:r>
        <w:rPr>
          <w:rFonts w:ascii="Georgia" w:hAnsi="Georgia"/>
          <w:b/>
          <w:color w:val="8C2D19"/>
          <w:sz w:val="30"/>
        </w:rPr>
        <w:t>4. Geographic Determinism in Imperial Capital Defense</w:t>
      </w:r>
    </w:p>
    <w:p>
      <w:pPr>
        <w:spacing w:after="100" w:line="276" w:lineRule="auto"/>
      </w:pPr>
      <w:r>
        <w:t>Vijayanagara's choice of capital was an act of master strategic geography:</w:t>
        <w:br/>
        <w:t>1. Northern Water Barrier: The deep, rocky gorge of the Tungabhadra protected against northern cavalry charges from the Deccan Sultanates.</w:t>
        <w:br/>
        <w:t>2. Concentric Hill Fortifications: Natural boulder chains were linked by massive mortarless granite cyclopean walls, forming up to seven concentric defense rings (as noted by Persian ambassador Abd al-Razzaq in 1443).</w:t>
        <w:br/>
        <w:t>3. Agricultural Self-Sufficiency: Ingenious diversion canals (such as the Raya Canal, Turtha Canal, and Basavanna Canal) watered micro-valleys within the fortified circuits, allowing the city to withstand prolonged sieges.</w:t>
      </w: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color w:val="8C8278"/>
        <w:sz w:val="16"/>
      </w:rPr>
      <w:t>Confidential &amp; Academic Heritage Documentation — Document Ref: HAM-DOC-02 — Vijayanagara Heritage Archive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eorgia" w:hAnsi="Georgia"/>
        <w:color w:val="786E64"/>
        <w:sz w:val="17"/>
      </w:rPr>
      <w:t>HAMPI CULTURAL HERITAGE ENCYCLOPEDIA | DIGITAL RESEARCH REPOSITORY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28282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