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06: RELIGIOUS &amp; SPIRITUAL HERITAGE OF HAMPI</w:t>
      </w:r>
    </w:p>
    <w:p>
      <w:pPr>
        <w:spacing w:before="0" w:after="240"/>
      </w:pPr>
      <w:r>
        <w:rPr>
          <w:rFonts w:ascii="Georgia" w:hAnsi="Georgia"/>
          <w:i/>
          <w:color w:val="5A5046"/>
          <w:sz w:val="24"/>
        </w:rPr>
        <w:t>Pampa-Virupaksha Shaivism, Imperial Vaishnavism, Jainism, Matha Networks &amp; Haridasa Bhakti</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The Sacred Matrix: Convergence of Faiths</w:t>
      </w:r>
    </w:p>
    <w:p>
      <w:pPr>
        <w:spacing w:after="100" w:line="276" w:lineRule="auto"/>
      </w:pPr>
      <w:r>
        <w:t>Hampi occupies a singular place in Indian religious history as a sacred landscape where primordial river goddess worship (Pampa Tirtha), classical Shaivism (Virupaksha), orthodox Advaita and Dvaita monastic networks (Mathas), imperial Vaishnavism (Vittala, Tiruvengalanatha, Rama), and Digambara Jainism flourished in dynamic coexistence and mutual patronage.</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[RELIGIOUS TRADITION VS EPIGRAPHIC RECORD]</w:t>
              <w:br/>
            </w:r>
            <w:r>
              <w:rPr>
                <w:color w:val="3C3228"/>
                <w:sz w:val="20"/>
              </w:rPr>
              <w:t>HISTORICAL FACT &amp; EPIGRAPHY: While early Sangama sovereigns invoked 'Sri Virupaksha' as the supreme imperial sign-manual on state charters in Kannada script, the later Tuluva and Aravidu dynasties balanced this with massive royal grants to Vaishnava foundations (Vittala, Venkateshwara of Tirupati, and Hazara Rama), reflecting an overarching policy of multi-denominational dharmic patronage.</w:t>
              <w:br/>
              <w:t>MYTHOLOGY: Pampa, daughter of Brahma (in regional Sthala Purana), performed rigorous austerities on Hemakuta Hill to marry the ascetic Shiva, transforming the river valley into Pampakshetra.</w:t>
            </w:r>
          </w:p>
        </w:tc>
      </w:tr>
    </w:tbl>
    <w:p>
      <w:pPr>
        <w:spacing w:after="80"/>
      </w:pPr>
    </w:p>
    <w:p>
      <w:pPr>
        <w:keepNext/>
        <w:spacing w:before="200" w:after="60"/>
      </w:pPr>
      <w:r>
        <w:rPr>
          <w:rFonts w:ascii="Georgia" w:hAnsi="Georgia"/>
          <w:b/>
          <w:color w:val="3C3228"/>
          <w:sz w:val="25"/>
        </w:rPr>
        <w:t>Dynastic Religious Alignment &amp; Shifts</w:t>
      </w:r>
    </w:p>
    <w:tbl>
      <w:tblPr>
        <w:tblW w:type="auto" w:w="0"/>
        <w:jc w:val="center"/>
        <w:tblLook w:firstColumn="1" w:firstRow="1" w:lastColumn="0" w:lastRow="0" w:noHBand="0" w:noVBand="1" w:val="04A0"/>
      </w:tblPr>
      <w:tblGrid>
        <w:gridCol w:w="2484"/>
        <w:gridCol w:w="2484"/>
        <w:gridCol w:w="2484"/>
        <w:gridCol w:w="2484"/>
      </w:tblGrid>
      <w:tr>
        <w:tc>
          <w:tcPr>
            <w:tcW w:type="dxa" w:w="2160"/>
            <w:shd w:fill="78321E"/>
            <w:tcMar>
              <w:top w:w="100" w:type="dxa"/>
              <w:bottom w:w="100" w:type="dxa"/>
              <w:left w:w="120" w:type="dxa"/>
              <w:right w:w="120" w:type="dxa"/>
            </w:tcMar>
          </w:tcPr>
          <w:p>
            <w:pPr>
              <w:spacing w:after="0"/>
            </w:pPr>
            <w:r>
              <w:rPr>
                <w:b/>
                <w:color w:val="FFFFFF"/>
                <w:sz w:val="19"/>
              </w:rPr>
              <w:t>Imperial Dynasty</w:t>
            </w:r>
          </w:p>
        </w:tc>
        <w:tc>
          <w:tcPr>
            <w:tcW w:type="dxa" w:w="2592"/>
            <w:shd w:fill="78321E"/>
            <w:tcMar>
              <w:top w:w="100" w:type="dxa"/>
              <w:bottom w:w="100" w:type="dxa"/>
              <w:left w:w="120" w:type="dxa"/>
              <w:right w:w="120" w:type="dxa"/>
            </w:tcMar>
          </w:tcPr>
          <w:p>
            <w:pPr>
              <w:spacing w:after="0"/>
            </w:pPr>
            <w:r>
              <w:rPr>
                <w:b/>
                <w:color w:val="FFFFFF"/>
                <w:sz w:val="19"/>
              </w:rPr>
              <w:t>Primary Royal Deity</w:t>
            </w:r>
          </w:p>
        </w:tc>
        <w:tc>
          <w:tcPr>
            <w:tcW w:type="dxa" w:w="2160"/>
            <w:shd w:fill="78321E"/>
            <w:tcMar>
              <w:top w:w="100" w:type="dxa"/>
              <w:bottom w:w="100" w:type="dxa"/>
              <w:left w:w="120" w:type="dxa"/>
              <w:right w:w="120" w:type="dxa"/>
            </w:tcMar>
          </w:tcPr>
          <w:p>
            <w:pPr>
              <w:spacing w:after="0"/>
            </w:pPr>
            <w:r>
              <w:rPr>
                <w:b/>
                <w:color w:val="FFFFFF"/>
                <w:sz w:val="19"/>
              </w:rPr>
              <w:t>Imperial Sign-Manual</w:t>
            </w:r>
          </w:p>
        </w:tc>
        <w:tc>
          <w:tcPr>
            <w:tcW w:type="dxa" w:w="2880"/>
            <w:shd w:fill="78321E"/>
            <w:tcMar>
              <w:top w:w="100" w:type="dxa"/>
              <w:bottom w:w="100" w:type="dxa"/>
              <w:left w:w="120" w:type="dxa"/>
              <w:right w:w="120" w:type="dxa"/>
            </w:tcMar>
          </w:tcPr>
          <w:p>
            <w:pPr>
              <w:spacing w:after="0"/>
            </w:pPr>
            <w:r>
              <w:rPr>
                <w:b/>
                <w:color w:val="FFFFFF"/>
                <w:sz w:val="19"/>
              </w:rPr>
              <w:t>Key Religious Foundations &amp; Matha Patronage</w:t>
            </w:r>
          </w:p>
        </w:tc>
      </w:tr>
      <w:tr>
        <w:tc>
          <w:tcPr>
            <w:tcW w:type="dxa" w:w="2160"/>
            <w:shd w:fill="FAF6F0"/>
            <w:tcMar>
              <w:top w:w="80" w:type="dxa"/>
              <w:bottom w:w="80" w:type="dxa"/>
              <w:left w:w="100" w:type="dxa"/>
              <w:right w:w="100" w:type="dxa"/>
            </w:tcMar>
          </w:tcPr>
          <w:p>
            <w:pPr>
              <w:spacing w:after="0"/>
            </w:pPr>
            <w:r>
              <w:rPr>
                <w:color w:val="2D2D2D"/>
                <w:sz w:val="18"/>
              </w:rPr>
              <w:t>Sangama (1336–1485)</w:t>
            </w:r>
          </w:p>
        </w:tc>
        <w:tc>
          <w:tcPr>
            <w:tcW w:type="dxa" w:w="2592"/>
            <w:shd w:fill="FAF6F0"/>
            <w:tcMar>
              <w:top w:w="80" w:type="dxa"/>
              <w:bottom w:w="80" w:type="dxa"/>
              <w:left w:w="100" w:type="dxa"/>
              <w:right w:w="100" w:type="dxa"/>
            </w:tcMar>
          </w:tcPr>
          <w:p>
            <w:pPr>
              <w:spacing w:after="0"/>
            </w:pPr>
            <w:r>
              <w:rPr>
                <w:color w:val="2D2D2D"/>
                <w:sz w:val="18"/>
              </w:rPr>
              <w:t>Virupaksha (Shiva)</w:t>
            </w:r>
          </w:p>
        </w:tc>
        <w:tc>
          <w:tcPr>
            <w:tcW w:type="dxa" w:w="2160"/>
            <w:shd w:fill="FAF6F0"/>
            <w:tcMar>
              <w:top w:w="80" w:type="dxa"/>
              <w:bottom w:w="80" w:type="dxa"/>
              <w:left w:w="100" w:type="dxa"/>
              <w:right w:w="100" w:type="dxa"/>
            </w:tcMar>
          </w:tcPr>
          <w:p>
            <w:pPr>
              <w:spacing w:after="0"/>
            </w:pPr>
            <w:r>
              <w:rPr>
                <w:color w:val="2D2D2D"/>
                <w:sz w:val="18"/>
              </w:rPr>
              <w:t>'Sri Virupaksha' (Kannada)</w:t>
            </w:r>
          </w:p>
        </w:tc>
        <w:tc>
          <w:tcPr>
            <w:tcW w:type="dxa" w:w="2880"/>
            <w:shd w:fill="FAF6F0"/>
            <w:tcMar>
              <w:top w:w="80" w:type="dxa"/>
              <w:bottom w:w="80" w:type="dxa"/>
              <w:left w:w="100" w:type="dxa"/>
              <w:right w:w="100" w:type="dxa"/>
            </w:tcMar>
          </w:tcPr>
          <w:p>
            <w:pPr>
              <w:spacing w:after="0"/>
            </w:pPr>
            <w:r>
              <w:rPr>
                <w:color w:val="2D2D2D"/>
                <w:sz w:val="18"/>
              </w:rPr>
              <w:t>Patronage of Sringeri Sharada Peetham; Madhava-Vidyaranya; Shaiva temple building on Hemakuta.</w:t>
            </w:r>
          </w:p>
        </w:tc>
      </w:tr>
      <w:tr>
        <w:tc>
          <w:tcPr>
            <w:tcW w:type="dxa" w:w="2160"/>
            <w:shd w:fill="FFFFFF"/>
            <w:tcMar>
              <w:top w:w="80" w:type="dxa"/>
              <w:bottom w:w="80" w:type="dxa"/>
              <w:left w:w="100" w:type="dxa"/>
              <w:right w:w="100" w:type="dxa"/>
            </w:tcMar>
          </w:tcPr>
          <w:p>
            <w:pPr>
              <w:spacing w:after="0"/>
            </w:pPr>
            <w:r>
              <w:rPr>
                <w:color w:val="2D2D2D"/>
                <w:sz w:val="18"/>
              </w:rPr>
              <w:t>Saluva (1485–1505)</w:t>
            </w:r>
          </w:p>
        </w:tc>
        <w:tc>
          <w:tcPr>
            <w:tcW w:type="dxa" w:w="2592"/>
            <w:shd w:fill="FFFFFF"/>
            <w:tcMar>
              <w:top w:w="80" w:type="dxa"/>
              <w:bottom w:w="80" w:type="dxa"/>
              <w:left w:w="100" w:type="dxa"/>
              <w:right w:w="100" w:type="dxa"/>
            </w:tcMar>
          </w:tcPr>
          <w:p>
            <w:pPr>
              <w:spacing w:after="0"/>
            </w:pPr>
            <w:r>
              <w:rPr>
                <w:color w:val="2D2D2D"/>
                <w:sz w:val="18"/>
              </w:rPr>
              <w:t>Narasimha / Venkateshwara</w:t>
            </w:r>
          </w:p>
        </w:tc>
        <w:tc>
          <w:tcPr>
            <w:tcW w:type="dxa" w:w="2160"/>
            <w:shd w:fill="FFFFFF"/>
            <w:tcMar>
              <w:top w:w="80" w:type="dxa"/>
              <w:bottom w:w="80" w:type="dxa"/>
              <w:left w:w="100" w:type="dxa"/>
              <w:right w:w="100" w:type="dxa"/>
            </w:tcMar>
          </w:tcPr>
          <w:p>
            <w:pPr>
              <w:spacing w:after="0"/>
            </w:pPr>
            <w:r>
              <w:rPr>
                <w:color w:val="2D2D2D"/>
                <w:sz w:val="18"/>
              </w:rPr>
              <w:t>'Sri Virupaksha'</w:t>
            </w:r>
          </w:p>
        </w:tc>
        <w:tc>
          <w:tcPr>
            <w:tcW w:type="dxa" w:w="2880"/>
            <w:shd w:fill="FFFFFF"/>
            <w:tcMar>
              <w:top w:w="80" w:type="dxa"/>
              <w:bottom w:w="80" w:type="dxa"/>
              <w:left w:w="100" w:type="dxa"/>
              <w:right w:w="100" w:type="dxa"/>
            </w:tcMar>
          </w:tcPr>
          <w:p>
            <w:pPr>
              <w:spacing w:after="0"/>
            </w:pPr>
            <w:r>
              <w:rPr>
                <w:color w:val="2D2D2D"/>
                <w:sz w:val="18"/>
              </w:rPr>
              <w:t>Consolidation of Vaishnava temple networks across Karnataka and Andhra; early grants to Tirupati.</w:t>
            </w:r>
          </w:p>
        </w:tc>
      </w:tr>
      <w:tr>
        <w:tc>
          <w:tcPr>
            <w:tcW w:type="dxa" w:w="2160"/>
            <w:shd w:fill="FAF6F0"/>
            <w:tcMar>
              <w:top w:w="80" w:type="dxa"/>
              <w:bottom w:w="80" w:type="dxa"/>
              <w:left w:w="100" w:type="dxa"/>
              <w:right w:w="100" w:type="dxa"/>
            </w:tcMar>
          </w:tcPr>
          <w:p>
            <w:pPr>
              <w:spacing w:after="0"/>
            </w:pPr>
            <w:r>
              <w:rPr>
                <w:color w:val="2D2D2D"/>
                <w:sz w:val="18"/>
              </w:rPr>
              <w:t>Tuluva (1505–1570)</w:t>
            </w:r>
          </w:p>
        </w:tc>
        <w:tc>
          <w:tcPr>
            <w:tcW w:type="dxa" w:w="2592"/>
            <w:shd w:fill="FAF6F0"/>
            <w:tcMar>
              <w:top w:w="80" w:type="dxa"/>
              <w:bottom w:w="80" w:type="dxa"/>
              <w:left w:w="100" w:type="dxa"/>
              <w:right w:w="100" w:type="dxa"/>
            </w:tcMar>
          </w:tcPr>
          <w:p>
            <w:pPr>
              <w:spacing w:after="0"/>
            </w:pPr>
            <w:r>
              <w:rPr>
                <w:color w:val="2D2D2D"/>
                <w:sz w:val="18"/>
              </w:rPr>
              <w:t>Venkateshwara, Krishna, Vittala</w:t>
            </w:r>
          </w:p>
        </w:tc>
        <w:tc>
          <w:tcPr>
            <w:tcW w:type="dxa" w:w="2160"/>
            <w:shd w:fill="FAF6F0"/>
            <w:tcMar>
              <w:top w:w="80" w:type="dxa"/>
              <w:bottom w:w="80" w:type="dxa"/>
              <w:left w:w="100" w:type="dxa"/>
              <w:right w:w="100" w:type="dxa"/>
            </w:tcMar>
          </w:tcPr>
          <w:p>
            <w:pPr>
              <w:spacing w:after="0"/>
            </w:pPr>
            <w:r>
              <w:rPr>
                <w:color w:val="2D2D2D"/>
                <w:sz w:val="18"/>
              </w:rPr>
              <w:t>'Sri Virupaksha'</w:t>
            </w:r>
          </w:p>
        </w:tc>
        <w:tc>
          <w:tcPr>
            <w:tcW w:type="dxa" w:w="2880"/>
            <w:shd w:fill="FAF6F0"/>
            <w:tcMar>
              <w:top w:w="80" w:type="dxa"/>
              <w:bottom w:w="80" w:type="dxa"/>
              <w:left w:w="100" w:type="dxa"/>
              <w:right w:w="100" w:type="dxa"/>
            </w:tcMar>
          </w:tcPr>
          <w:p>
            <w:pPr>
              <w:spacing w:after="0"/>
            </w:pPr>
            <w:r>
              <w:rPr>
                <w:color w:val="2D2D2D"/>
                <w:sz w:val="18"/>
              </w:rPr>
              <w:t>Vyasatirtha (Dvaita pontiff) as royal guru; construction of Krishna, Vittala, and Achyutaraya complexes.</w:t>
            </w:r>
          </w:p>
        </w:tc>
      </w:tr>
      <w:tr>
        <w:tc>
          <w:tcPr>
            <w:tcW w:type="dxa" w:w="2160"/>
            <w:shd w:fill="FFFFFF"/>
            <w:tcMar>
              <w:top w:w="80" w:type="dxa"/>
              <w:bottom w:w="80" w:type="dxa"/>
              <w:left w:w="100" w:type="dxa"/>
              <w:right w:w="100" w:type="dxa"/>
            </w:tcMar>
          </w:tcPr>
          <w:p>
            <w:pPr>
              <w:spacing w:after="0"/>
            </w:pPr>
            <w:r>
              <w:rPr>
                <w:color w:val="2D2D2D"/>
                <w:sz w:val="18"/>
              </w:rPr>
              <w:t>Aravidu (1570–1646)</w:t>
            </w:r>
          </w:p>
        </w:tc>
        <w:tc>
          <w:tcPr>
            <w:tcW w:type="dxa" w:w="2592"/>
            <w:shd w:fill="FFFFFF"/>
            <w:tcMar>
              <w:top w:w="80" w:type="dxa"/>
              <w:bottom w:w="80" w:type="dxa"/>
              <w:left w:w="100" w:type="dxa"/>
              <w:right w:w="100" w:type="dxa"/>
            </w:tcMar>
          </w:tcPr>
          <w:p>
            <w:pPr>
              <w:spacing w:after="0"/>
            </w:pPr>
            <w:r>
              <w:rPr>
                <w:color w:val="2D2D2D"/>
                <w:sz w:val="18"/>
              </w:rPr>
              <w:t>Venkateshwara of Tirumala</w:t>
            </w:r>
          </w:p>
        </w:tc>
        <w:tc>
          <w:tcPr>
            <w:tcW w:type="dxa" w:w="2160"/>
            <w:shd w:fill="FFFFFF"/>
            <w:tcMar>
              <w:top w:w="80" w:type="dxa"/>
              <w:bottom w:w="80" w:type="dxa"/>
              <w:left w:w="100" w:type="dxa"/>
              <w:right w:w="100" w:type="dxa"/>
            </w:tcMar>
          </w:tcPr>
          <w:p>
            <w:pPr>
              <w:spacing w:after="0"/>
            </w:pPr>
            <w:r>
              <w:rPr>
                <w:color w:val="2D2D2D"/>
                <w:sz w:val="18"/>
              </w:rPr>
              <w:t>'Sri Venkatesha' (Telugu)</w:t>
            </w:r>
          </w:p>
        </w:tc>
        <w:tc>
          <w:tcPr>
            <w:tcW w:type="dxa" w:w="2880"/>
            <w:shd w:fill="FFFFFF"/>
            <w:tcMar>
              <w:top w:w="80" w:type="dxa"/>
              <w:bottom w:w="80" w:type="dxa"/>
              <w:left w:w="100" w:type="dxa"/>
              <w:right w:w="100" w:type="dxa"/>
            </w:tcMar>
          </w:tcPr>
          <w:p>
            <w:pPr>
              <w:spacing w:after="0"/>
            </w:pPr>
            <w:r>
              <w:rPr>
                <w:color w:val="2D2D2D"/>
                <w:sz w:val="18"/>
              </w:rPr>
              <w:t>Shift of primary royal focus to Tirumala-Tirupati, Ahobilam, and Srirangam post-1565.</w:t>
            </w:r>
          </w:p>
        </w:tc>
      </w:tr>
    </w:tbl>
    <w:p>
      <w:pPr>
        <w:spacing w:after="120"/>
      </w:pPr>
    </w:p>
    <w:p>
      <w:pPr>
        <w:keepNext/>
        <w:spacing w:before="280" w:after="80"/>
      </w:pPr>
      <w:r>
        <w:rPr>
          <w:rFonts w:ascii="Georgia" w:hAnsi="Georgia"/>
          <w:b/>
          <w:color w:val="8C2D19"/>
          <w:sz w:val="30"/>
        </w:rPr>
        <w:t>2. The Haridasa Movement &amp; Bhakti Revolution</w:t>
      </w:r>
    </w:p>
    <w:p>
      <w:pPr>
        <w:spacing w:after="100" w:line="276" w:lineRule="auto"/>
      </w:pPr>
      <w:r>
        <w:t>During the 15th and 16th centuries, Hampi became the epicenter of the Haridasa movement of Karnataka, spearheaded by saint-composers who propagated devotional Dvaita philosophy through vernacular Kannada songs (Devaranamas/Kirtanas):</w:t>
      </w:r>
    </w:p>
    <w:p>
      <w:pPr>
        <w:spacing w:after="100" w:line="276" w:lineRule="auto"/>
      </w:pPr>
      <w:r>
        <w:t>• Sripadaraja (c. 1422–1480): Pioneer of the Haridasa musical structure; spiritual mentor of Vyasatirtha.</w:t>
        <w:br/>
        <w:t>• Vyasatirtha (1460–1539): Royal preceptor (Rajaguru) to Krishnadevaraya; established the Purandaradasa and Kanakadasa lineage; installed 732 consecrated Hanuman shrines across the empire.</w:t>
        <w:br/>
        <w:t>• Purandaradasa (c. 1484–1564): Revered as the 'Pitamaha of Carnatic Music' (Grandfather of Carnatic Music); spent his final decades at his mandapa near the Vittala Temple in Hampi, composing thousands of kirtanas systemizing classical musical pedagogy (Mayamalavagowla ragam, Swaravalis, Alankaras).</w:t>
        <w:br/>
        <w:t>• Kanakadasa (1509–1609): Renowned Kuruba-born saint-philosopher whose works (Mohanatarangini, Ramadhanya Charite) challenged caste rigidities through profound bhakti.</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HAM-DOC-06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