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Georgia" w:hAnsi="Georgia"/>
          <w:b/>
          <w:color w:val="8C2D19"/>
          <w:sz w:val="44"/>
        </w:rPr>
        <w:t>07: THE VIRUPAKSHA TEMPLE — LIVING SACRED MONUMENT</w:t>
      </w:r>
    </w:p>
    <w:p>
      <w:pPr>
        <w:spacing w:before="0" w:after="240"/>
      </w:pPr>
      <w:r>
        <w:rPr>
          <w:rFonts w:ascii="Georgia" w:hAnsi="Georgia"/>
          <w:i/>
          <w:color w:val="5A5046"/>
          <w:sz w:val="24"/>
        </w:rPr>
        <w:t>Architecture, Pampa Cult, Rangamantapa Frescoes, Pinhole Optical Projection &amp; Living Rituals</w:t>
      </w:r>
    </w:p>
    <w:tbl>
      <w:tblPr>
        <w:tblW w:type="auto" w:w="0"/>
        <w:jc w:val="center"/>
        <w:tblLook w:firstColumn="1" w:firstRow="1" w:lastColumn="0" w:lastRow="0" w:noHBand="0" w:noVBand="1" w:val="04A0"/>
      </w:tblPr>
      <w:tblGrid>
        <w:gridCol w:w="4968"/>
        <w:gridCol w:w="4968"/>
      </w:tblGrid>
      <w:tr>
        <w:tc>
          <w:tcPr>
            <w:tcW w:type="dxa" w:w="2592"/>
            <w:shd w:fill="F2ECE4"/>
            <w:tcMar>
              <w:top w:w="60" w:type="dxa"/>
              <w:bottom w:w="60" w:type="dxa"/>
              <w:left w:w="100" w:type="dxa"/>
              <w:right w:w="100" w:type="dxa"/>
            </w:tcMar>
          </w:tcPr>
          <w:p>
            <w:pPr>
              <w:spacing w:after="0"/>
            </w:pPr>
            <w:r>
              <w:rPr>
                <w:b/>
                <w:color w:val="502814"/>
                <w:sz w:val="19"/>
              </w:rPr>
              <w:t>Project:</w:t>
            </w:r>
          </w:p>
        </w:tc>
        <w:tc>
          <w:tcPr>
            <w:tcW w:type="dxa" w:w="7200"/>
            <w:shd w:fill="FAF7F2"/>
            <w:tcMar>
              <w:top w:w="60" w:type="dxa"/>
              <w:bottom w:w="60" w:type="dxa"/>
              <w:left w:w="100" w:type="dxa"/>
              <w:right w:w="100" w:type="dxa"/>
            </w:tcMar>
          </w:tcPr>
          <w:p>
            <w:pPr>
              <w:spacing w:after="0"/>
            </w:pPr>
            <w:r>
              <w:rPr>
                <w:color w:val="323232"/>
                <w:sz w:val="19"/>
              </w:rPr>
              <w:t>Antigravity Indian Cultural Heritage Knowledge Platform (Hampi, Karnataka)</w:t>
            </w:r>
          </w:p>
        </w:tc>
      </w:tr>
      <w:tr>
        <w:tc>
          <w:tcPr>
            <w:tcW w:type="dxa" w:w="2592"/>
            <w:shd w:fill="F2ECE4"/>
            <w:tcMar>
              <w:top w:w="60" w:type="dxa"/>
              <w:bottom w:w="60" w:type="dxa"/>
              <w:left w:w="100" w:type="dxa"/>
              <w:right w:w="100" w:type="dxa"/>
            </w:tcMar>
          </w:tcPr>
          <w:p>
            <w:pPr>
              <w:spacing w:after="0"/>
            </w:pPr>
            <w:r>
              <w:rPr>
                <w:b/>
                <w:color w:val="502814"/>
                <w:sz w:val="19"/>
              </w:rPr>
              <w:t>Research Team:</w:t>
            </w:r>
          </w:p>
        </w:tc>
        <w:tc>
          <w:tcPr>
            <w:tcW w:type="dxa" w:w="7200"/>
            <w:shd w:fill="FAF7F2"/>
            <w:tcMar>
              <w:top w:w="60" w:type="dxa"/>
              <w:bottom w:w="60" w:type="dxa"/>
              <w:left w:w="100" w:type="dxa"/>
              <w:right w:w="100" w:type="dxa"/>
            </w:tcMar>
          </w:tcPr>
          <w:p>
            <w:pPr>
              <w:spacing w:after="0"/>
            </w:pPr>
            <w:r>
              <w:rPr>
                <w:color w:val="323232"/>
                <w:sz w:val="19"/>
              </w:rPr>
              <w:t>Historians, Epigraphists, Archaeologists, Architectural Historians, Anthropologists, Digital Knowledge Architects</w:t>
            </w:r>
          </w:p>
        </w:tc>
      </w:tr>
      <w:tr>
        <w:tc>
          <w:tcPr>
            <w:tcW w:type="dxa" w:w="2592"/>
            <w:shd w:fill="F2ECE4"/>
            <w:tcMar>
              <w:top w:w="60" w:type="dxa"/>
              <w:bottom w:w="60" w:type="dxa"/>
              <w:left w:w="100" w:type="dxa"/>
              <w:right w:w="100" w:type="dxa"/>
            </w:tcMar>
          </w:tcPr>
          <w:p>
            <w:pPr>
              <w:spacing w:after="0"/>
            </w:pPr>
            <w:r>
              <w:rPr>
                <w:b/>
                <w:color w:val="502814"/>
                <w:sz w:val="19"/>
              </w:rPr>
              <w:t>Source Hierarchy:</w:t>
            </w:r>
          </w:p>
        </w:tc>
        <w:tc>
          <w:tcPr>
            <w:tcW w:type="dxa" w:w="7200"/>
            <w:shd w:fill="FAF7F2"/>
            <w:tcMar>
              <w:top w:w="60" w:type="dxa"/>
              <w:bottom w:w="60" w:type="dxa"/>
              <w:left w:w="100" w:type="dxa"/>
              <w:right w:w="100" w:type="dxa"/>
            </w:tcMar>
          </w:tcPr>
          <w:p>
            <w:pPr>
              <w:spacing w:after="0"/>
            </w:pPr>
            <w:r>
              <w:rPr>
                <w:color w:val="323232"/>
                <w:sz w:val="19"/>
              </w:rPr>
              <w:t>Tier 1 (UNESCO, ASI, State Epigraphy) &amp; Tier 2 (Academic Monographs &amp; Journals)</w:t>
            </w:r>
          </w:p>
        </w:tc>
      </w:tr>
      <w:tr>
        <w:tc>
          <w:tcPr>
            <w:tcW w:type="dxa" w:w="2592"/>
            <w:shd w:fill="F2ECE4"/>
            <w:tcMar>
              <w:top w:w="60" w:type="dxa"/>
              <w:bottom w:w="60" w:type="dxa"/>
              <w:left w:w="100" w:type="dxa"/>
              <w:right w:w="100" w:type="dxa"/>
            </w:tcMar>
          </w:tcPr>
          <w:p>
            <w:pPr>
              <w:spacing w:after="0"/>
            </w:pPr>
            <w:r>
              <w:rPr>
                <w:b/>
                <w:color w:val="502814"/>
                <w:sz w:val="19"/>
              </w:rPr>
              <w:t>Geographical Context:</w:t>
            </w:r>
          </w:p>
        </w:tc>
        <w:tc>
          <w:tcPr>
            <w:tcW w:type="dxa" w:w="7200"/>
            <w:shd w:fill="FAF7F2"/>
            <w:tcMar>
              <w:top w:w="60" w:type="dxa"/>
              <w:bottom w:w="60" w:type="dxa"/>
              <w:left w:w="100" w:type="dxa"/>
              <w:right w:w="100" w:type="dxa"/>
            </w:tcMar>
          </w:tcPr>
          <w:p>
            <w:pPr>
              <w:spacing w:after="0"/>
            </w:pPr>
            <w:r>
              <w:rPr>
                <w:color w:val="323232"/>
                <w:sz w:val="19"/>
              </w:rPr>
              <w:t>Hampi World Heritage Site, Vijayanagara Metropolitan Region, Bellary/Vijayanagara Dist, Karnataka</w:t>
            </w:r>
          </w:p>
        </w:tc>
      </w:tr>
    </w:tbl>
    <w:p>
      <w:pPr>
        <w:spacing w:after="160"/>
      </w:pPr>
    </w:p>
    <w:p>
      <w:pPr>
        <w:keepNext/>
        <w:spacing w:before="280" w:after="80"/>
      </w:pPr>
      <w:r>
        <w:rPr>
          <w:rFonts w:ascii="Georgia" w:hAnsi="Georgia"/>
          <w:b/>
          <w:color w:val="8C2D19"/>
          <w:sz w:val="30"/>
        </w:rPr>
        <w:t>1. Architectural &amp; Historical Monograph</w:t>
      </w:r>
    </w:p>
    <w:p>
      <w:pPr>
        <w:spacing w:after="100" w:line="276" w:lineRule="auto"/>
      </w:pPr>
      <w:r>
        <w:t>The Virupaksha Temple (also known as the Pampapathi Temple) is the undisputed spiritual heart of Hampi and one of India's oldest continuously functioning Hindu sanctuaries, with an unbroken tradition of worship dating from at least the 7th century CE to the present day.</w:t>
      </w:r>
    </w:p>
    <w:tbl>
      <w:tblPr>
        <w:tblW w:type="auto" w:w="0"/>
        <w:jc w:val="center"/>
        <w:tblLook w:firstColumn="1" w:firstRow="1" w:lastColumn="0" w:lastRow="0" w:noHBand="0" w:noVBand="1" w:val="04A0"/>
      </w:tblPr>
      <w:tblGrid>
        <w:gridCol w:w="9936"/>
      </w:tblGrid>
      <w:tr>
        <w:tc>
          <w:tcPr>
            <w:tcW w:type="dxa" w:w="9792"/>
            <w:shd w:fill="FFF8EE"/>
            <w:tcMar>
              <w:top w:w="120" w:type="dxa"/>
              <w:bottom w:w="120" w:type="dxa"/>
              <w:left w:w="180" w:type="dxa"/>
              <w:right w:w="180" w:type="dxa"/>
            </w:tcMar>
            <w:tcBorders>
              <w:top w:val="none" w:sz="0" w:space="0" w:color="auto"/>
              <w:left w:val="single" w:sz="24" w:space="0" w:color="C27D38"/>
              <w:bottom w:val="none" w:sz="0" w:space="0" w:color="auto"/>
              <w:right w:val="none" w:sz="0" w:space="0" w:color="auto"/>
            </w:tcBorders>
          </w:tcPr>
          <w:p>
            <w:pPr>
              <w:spacing w:after="60"/>
            </w:pPr>
            <w:r>
              <w:rPr>
                <w:b/>
                <w:color w:val="A03C14"/>
                <w:sz w:val="19"/>
              </w:rPr>
              <w:t>[CORONATION EPIGRAPH OF KRISHNADEVARAYA]</w:t>
              <w:br/>
            </w:r>
            <w:r>
              <w:rPr>
                <w:color w:val="3C3228"/>
                <w:sz w:val="20"/>
              </w:rPr>
              <w:t>ARCHAEOLOGICAL &amp; EPIGRAPHICAL FACT: The core sanctum containing the Shiva Linga and Pampa shrine dates to the Western Chalukya and Hoysala periods (10th-12th c.). Emperor Krishnadevaraya commissioned the magnificent pillared Rangamantapa and renovated the eastern Mahagopuram in 1509–1510 CE to celebrate his royal coronation, as documented by his granite inscription in the hall.</w:t>
            </w:r>
          </w:p>
        </w:tc>
      </w:tr>
    </w:tbl>
    <w:p>
      <w:pPr>
        <w:spacing w:after="80"/>
      </w:pPr>
    </w:p>
    <w:p>
      <w:pPr>
        <w:keepNext/>
        <w:spacing w:before="200" w:after="60"/>
      </w:pPr>
      <w:r>
        <w:rPr>
          <w:rFonts w:ascii="Georgia" w:hAnsi="Georgia"/>
          <w:b/>
          <w:color w:val="3C3228"/>
          <w:sz w:val="25"/>
        </w:rPr>
        <w:t>Architectural Components of the Virupaksha Complex</w:t>
      </w:r>
    </w:p>
    <w:tbl>
      <w:tblPr>
        <w:tblW w:type="auto" w:w="0"/>
        <w:jc w:val="center"/>
        <w:tblLook w:firstColumn="1" w:firstRow="1" w:lastColumn="0" w:lastRow="0" w:noHBand="0" w:noVBand="1" w:val="04A0"/>
      </w:tblPr>
      <w:tblGrid>
        <w:gridCol w:w="2484"/>
        <w:gridCol w:w="2484"/>
        <w:gridCol w:w="2484"/>
        <w:gridCol w:w="2484"/>
      </w:tblGrid>
      <w:tr>
        <w:tc>
          <w:tcPr>
            <w:tcW w:type="dxa" w:w="2304"/>
            <w:shd w:fill="78321E"/>
            <w:tcMar>
              <w:top w:w="100" w:type="dxa"/>
              <w:bottom w:w="100" w:type="dxa"/>
              <w:left w:w="120" w:type="dxa"/>
              <w:right w:w="120" w:type="dxa"/>
            </w:tcMar>
          </w:tcPr>
          <w:p>
            <w:pPr>
              <w:spacing w:after="0"/>
            </w:pPr>
            <w:r>
              <w:rPr>
                <w:b/>
                <w:color w:val="FFFFFF"/>
                <w:sz w:val="19"/>
              </w:rPr>
              <w:t>Structural Component</w:t>
            </w:r>
          </w:p>
        </w:tc>
        <w:tc>
          <w:tcPr>
            <w:tcW w:type="dxa" w:w="1728"/>
            <w:shd w:fill="78321E"/>
            <w:tcMar>
              <w:top w:w="100" w:type="dxa"/>
              <w:bottom w:w="100" w:type="dxa"/>
              <w:left w:w="120" w:type="dxa"/>
              <w:right w:w="120" w:type="dxa"/>
            </w:tcMar>
          </w:tcPr>
          <w:p>
            <w:pPr>
              <w:spacing w:after="0"/>
            </w:pPr>
            <w:r>
              <w:rPr>
                <w:b/>
                <w:color w:val="FFFFFF"/>
                <w:sz w:val="19"/>
              </w:rPr>
              <w:t>Dimensions / Height</w:t>
            </w:r>
          </w:p>
        </w:tc>
        <w:tc>
          <w:tcPr>
            <w:tcW w:type="dxa" w:w="2016"/>
            <w:shd w:fill="78321E"/>
            <w:tcMar>
              <w:top w:w="100" w:type="dxa"/>
              <w:bottom w:w="100" w:type="dxa"/>
              <w:left w:w="120" w:type="dxa"/>
              <w:right w:w="120" w:type="dxa"/>
            </w:tcMar>
          </w:tcPr>
          <w:p>
            <w:pPr>
              <w:spacing w:after="0"/>
            </w:pPr>
            <w:r>
              <w:rPr>
                <w:b/>
                <w:color w:val="FFFFFF"/>
                <w:sz w:val="19"/>
              </w:rPr>
              <w:t>Period / Patron</w:t>
            </w:r>
          </w:p>
        </w:tc>
        <w:tc>
          <w:tcPr>
            <w:tcW w:type="dxa" w:w="3744"/>
            <w:shd w:fill="78321E"/>
            <w:tcMar>
              <w:top w:w="100" w:type="dxa"/>
              <w:bottom w:w="100" w:type="dxa"/>
              <w:left w:w="120" w:type="dxa"/>
              <w:right w:w="120" w:type="dxa"/>
            </w:tcMar>
          </w:tcPr>
          <w:p>
            <w:pPr>
              <w:spacing w:after="0"/>
            </w:pPr>
            <w:r>
              <w:rPr>
                <w:b/>
                <w:color w:val="FFFFFF"/>
                <w:sz w:val="19"/>
              </w:rPr>
              <w:t>Architectural &amp; Iconographic Highlights</w:t>
            </w:r>
          </w:p>
        </w:tc>
      </w:tr>
      <w:tr>
        <w:tc>
          <w:tcPr>
            <w:tcW w:type="dxa" w:w="2304"/>
            <w:shd w:fill="FAF6F0"/>
            <w:tcMar>
              <w:top w:w="80" w:type="dxa"/>
              <w:bottom w:w="80" w:type="dxa"/>
              <w:left w:w="100" w:type="dxa"/>
              <w:right w:w="100" w:type="dxa"/>
            </w:tcMar>
          </w:tcPr>
          <w:p>
            <w:pPr>
              <w:spacing w:after="0"/>
            </w:pPr>
            <w:r>
              <w:rPr>
                <w:color w:val="2D2D2D"/>
                <w:sz w:val="18"/>
              </w:rPr>
              <w:t>Eastern Mahagopuram (Bistappayya Gopura)</w:t>
            </w:r>
          </w:p>
        </w:tc>
        <w:tc>
          <w:tcPr>
            <w:tcW w:type="dxa" w:w="1728"/>
            <w:shd w:fill="FAF6F0"/>
            <w:tcMar>
              <w:top w:w="80" w:type="dxa"/>
              <w:bottom w:w="80" w:type="dxa"/>
              <w:left w:w="100" w:type="dxa"/>
              <w:right w:w="100" w:type="dxa"/>
            </w:tcMar>
          </w:tcPr>
          <w:p>
            <w:pPr>
              <w:spacing w:after="0"/>
            </w:pPr>
            <w:r>
              <w:rPr>
                <w:color w:val="2D2D2D"/>
                <w:sz w:val="18"/>
              </w:rPr>
              <w:t>52 meters (9 storeys)</w:t>
            </w:r>
          </w:p>
        </w:tc>
        <w:tc>
          <w:tcPr>
            <w:tcW w:type="dxa" w:w="2016"/>
            <w:shd w:fill="FAF6F0"/>
            <w:tcMar>
              <w:top w:w="80" w:type="dxa"/>
              <w:bottom w:w="80" w:type="dxa"/>
              <w:left w:w="100" w:type="dxa"/>
              <w:right w:w="100" w:type="dxa"/>
            </w:tcMar>
          </w:tcPr>
          <w:p>
            <w:pPr>
              <w:spacing w:after="0"/>
            </w:pPr>
            <w:r>
              <w:rPr>
                <w:color w:val="2D2D2D"/>
                <w:sz w:val="18"/>
              </w:rPr>
              <w:t>Original 1442; rebuilt by Krishnadevaraya (1510); renovated 19th c.</w:t>
            </w:r>
          </w:p>
        </w:tc>
        <w:tc>
          <w:tcPr>
            <w:tcW w:type="dxa" w:w="3744"/>
            <w:shd w:fill="FAF6F0"/>
            <w:tcMar>
              <w:top w:w="80" w:type="dxa"/>
              <w:bottom w:w="80" w:type="dxa"/>
              <w:left w:w="100" w:type="dxa"/>
              <w:right w:w="100" w:type="dxa"/>
            </w:tcMar>
          </w:tcPr>
          <w:p>
            <w:pPr>
              <w:spacing w:after="0"/>
            </w:pPr>
            <w:r>
              <w:rPr>
                <w:color w:val="2D2D2D"/>
                <w:sz w:val="18"/>
              </w:rPr>
              <w:t>Brick-and-stucco tower on granite base; pyramidal tiered elevations; stucco mythological sculptures.</w:t>
            </w:r>
          </w:p>
        </w:tc>
      </w:tr>
      <w:tr>
        <w:tc>
          <w:tcPr>
            <w:tcW w:type="dxa" w:w="2304"/>
            <w:shd w:fill="FFFFFF"/>
            <w:tcMar>
              <w:top w:w="80" w:type="dxa"/>
              <w:bottom w:w="80" w:type="dxa"/>
              <w:left w:w="100" w:type="dxa"/>
              <w:right w:w="100" w:type="dxa"/>
            </w:tcMar>
          </w:tcPr>
          <w:p>
            <w:pPr>
              <w:spacing w:after="0"/>
            </w:pPr>
            <w:r>
              <w:rPr>
                <w:color w:val="2D2D2D"/>
                <w:sz w:val="18"/>
              </w:rPr>
              <w:t>Northern Kanakagiri Gopuram</w:t>
            </w:r>
          </w:p>
        </w:tc>
        <w:tc>
          <w:tcPr>
            <w:tcW w:type="dxa" w:w="1728"/>
            <w:shd w:fill="FFFFFF"/>
            <w:tcMar>
              <w:top w:w="80" w:type="dxa"/>
              <w:bottom w:w="80" w:type="dxa"/>
              <w:left w:w="100" w:type="dxa"/>
              <w:right w:w="100" w:type="dxa"/>
            </w:tcMar>
          </w:tcPr>
          <w:p>
            <w:pPr>
              <w:spacing w:after="0"/>
            </w:pPr>
            <w:r>
              <w:rPr>
                <w:color w:val="2D2D2D"/>
                <w:sz w:val="18"/>
              </w:rPr>
              <w:t>3 storeys (granite/brick)</w:t>
            </w:r>
          </w:p>
        </w:tc>
        <w:tc>
          <w:tcPr>
            <w:tcW w:type="dxa" w:w="2016"/>
            <w:shd w:fill="FFFFFF"/>
            <w:tcMar>
              <w:top w:w="80" w:type="dxa"/>
              <w:bottom w:w="80" w:type="dxa"/>
              <w:left w:w="100" w:type="dxa"/>
              <w:right w:w="100" w:type="dxa"/>
            </w:tcMar>
          </w:tcPr>
          <w:p>
            <w:pPr>
              <w:spacing w:after="0"/>
            </w:pPr>
            <w:r>
              <w:rPr>
                <w:color w:val="2D2D2D"/>
                <w:sz w:val="18"/>
              </w:rPr>
              <w:t>16th Century Tuluva</w:t>
            </w:r>
          </w:p>
        </w:tc>
        <w:tc>
          <w:tcPr>
            <w:tcW w:type="dxa" w:w="3744"/>
            <w:shd w:fill="FFFFFF"/>
            <w:tcMar>
              <w:top w:w="80" w:type="dxa"/>
              <w:bottom w:w="80" w:type="dxa"/>
              <w:left w:w="100" w:type="dxa"/>
              <w:right w:w="100" w:type="dxa"/>
            </w:tcMar>
          </w:tcPr>
          <w:p>
            <w:pPr>
              <w:spacing w:after="0"/>
            </w:pPr>
            <w:r>
              <w:rPr>
                <w:color w:val="2D2D2D"/>
                <w:sz w:val="18"/>
              </w:rPr>
              <w:t>Leads to the holy Tungabhadra bathing ghats; houses small subsidiary shrines.</w:t>
            </w:r>
          </w:p>
        </w:tc>
      </w:tr>
      <w:tr>
        <w:tc>
          <w:tcPr>
            <w:tcW w:type="dxa" w:w="2304"/>
            <w:shd w:fill="FAF6F0"/>
            <w:tcMar>
              <w:top w:w="80" w:type="dxa"/>
              <w:bottom w:w="80" w:type="dxa"/>
              <w:left w:w="100" w:type="dxa"/>
              <w:right w:w="100" w:type="dxa"/>
            </w:tcMar>
          </w:tcPr>
          <w:p>
            <w:pPr>
              <w:spacing w:after="0"/>
            </w:pPr>
            <w:r>
              <w:rPr>
                <w:color w:val="2D2D2D"/>
                <w:sz w:val="18"/>
              </w:rPr>
              <w:t>Rangamantapa (Coronation Hall)</w:t>
            </w:r>
          </w:p>
        </w:tc>
        <w:tc>
          <w:tcPr>
            <w:tcW w:type="dxa" w:w="1728"/>
            <w:shd w:fill="FAF6F0"/>
            <w:tcMar>
              <w:top w:w="80" w:type="dxa"/>
              <w:bottom w:w="80" w:type="dxa"/>
              <w:left w:w="100" w:type="dxa"/>
              <w:right w:w="100" w:type="dxa"/>
            </w:tcMar>
          </w:tcPr>
          <w:p>
            <w:pPr>
              <w:spacing w:after="0"/>
            </w:pPr>
            <w:r>
              <w:rPr>
                <w:color w:val="2D2D2D"/>
                <w:sz w:val="18"/>
              </w:rPr>
              <w:t>16-pillared hypostyle hall</w:t>
            </w:r>
          </w:p>
        </w:tc>
        <w:tc>
          <w:tcPr>
            <w:tcW w:type="dxa" w:w="2016"/>
            <w:shd w:fill="FAF6F0"/>
            <w:tcMar>
              <w:top w:w="80" w:type="dxa"/>
              <w:bottom w:w="80" w:type="dxa"/>
              <w:left w:w="100" w:type="dxa"/>
              <w:right w:w="100" w:type="dxa"/>
            </w:tcMar>
          </w:tcPr>
          <w:p>
            <w:pPr>
              <w:spacing w:after="0"/>
            </w:pPr>
            <w:r>
              <w:rPr>
                <w:color w:val="2D2D2D"/>
                <w:sz w:val="18"/>
              </w:rPr>
              <w:t>Krishnadevaraya (1510 CE)</w:t>
            </w:r>
          </w:p>
        </w:tc>
        <w:tc>
          <w:tcPr>
            <w:tcW w:type="dxa" w:w="3744"/>
            <w:shd w:fill="FAF6F0"/>
            <w:tcMar>
              <w:top w:w="80" w:type="dxa"/>
              <w:bottom w:w="80" w:type="dxa"/>
              <w:left w:w="100" w:type="dxa"/>
              <w:right w:w="100" w:type="dxa"/>
            </w:tcMar>
          </w:tcPr>
          <w:p>
            <w:pPr>
              <w:spacing w:after="0"/>
            </w:pPr>
            <w:r>
              <w:rPr>
                <w:color w:val="2D2D2D"/>
                <w:sz w:val="18"/>
              </w:rPr>
              <w:t>Carved granite Yali balustrades, mythical lions, composite pillars, and world-famous ceiling murals.</w:t>
            </w:r>
          </w:p>
        </w:tc>
      </w:tr>
      <w:tr>
        <w:tc>
          <w:tcPr>
            <w:tcW w:type="dxa" w:w="2304"/>
            <w:shd w:fill="FFFFFF"/>
            <w:tcMar>
              <w:top w:w="80" w:type="dxa"/>
              <w:bottom w:w="80" w:type="dxa"/>
              <w:left w:w="100" w:type="dxa"/>
              <w:right w:w="100" w:type="dxa"/>
            </w:tcMar>
          </w:tcPr>
          <w:p>
            <w:pPr>
              <w:spacing w:after="0"/>
            </w:pPr>
            <w:r>
              <w:rPr>
                <w:color w:val="2D2D2D"/>
                <w:sz w:val="18"/>
              </w:rPr>
              <w:t>Sanctum &amp; Vimana</w:t>
            </w:r>
          </w:p>
        </w:tc>
        <w:tc>
          <w:tcPr>
            <w:tcW w:type="dxa" w:w="1728"/>
            <w:shd w:fill="FFFFFF"/>
            <w:tcMar>
              <w:top w:w="80" w:type="dxa"/>
              <w:bottom w:w="80" w:type="dxa"/>
              <w:left w:w="100" w:type="dxa"/>
              <w:right w:w="100" w:type="dxa"/>
            </w:tcMar>
          </w:tcPr>
          <w:p>
            <w:pPr>
              <w:spacing w:after="0"/>
            </w:pPr>
            <w:r>
              <w:rPr>
                <w:color w:val="2D2D2D"/>
                <w:sz w:val="18"/>
              </w:rPr>
              <w:t>Square garbhadriha with Kadamba-style spire</w:t>
            </w:r>
          </w:p>
        </w:tc>
        <w:tc>
          <w:tcPr>
            <w:tcW w:type="dxa" w:w="2016"/>
            <w:shd w:fill="FFFFFF"/>
            <w:tcMar>
              <w:top w:w="80" w:type="dxa"/>
              <w:bottom w:w="80" w:type="dxa"/>
              <w:left w:w="100" w:type="dxa"/>
              <w:right w:w="100" w:type="dxa"/>
            </w:tcMar>
          </w:tcPr>
          <w:p>
            <w:pPr>
              <w:spacing w:after="0"/>
            </w:pPr>
            <w:r>
              <w:rPr>
                <w:color w:val="2D2D2D"/>
                <w:sz w:val="18"/>
              </w:rPr>
              <w:t>Western Chalukya / Hoysala core</w:t>
            </w:r>
          </w:p>
        </w:tc>
        <w:tc>
          <w:tcPr>
            <w:tcW w:type="dxa" w:w="3744"/>
            <w:shd w:fill="FFFFFF"/>
            <w:tcMar>
              <w:top w:w="80" w:type="dxa"/>
              <w:bottom w:w="80" w:type="dxa"/>
              <w:left w:w="100" w:type="dxa"/>
              <w:right w:w="100" w:type="dxa"/>
            </w:tcMar>
          </w:tcPr>
          <w:p>
            <w:pPr>
              <w:spacing w:after="0"/>
            </w:pPr>
            <w:r>
              <w:rPr>
                <w:color w:val="2D2D2D"/>
                <w:sz w:val="18"/>
              </w:rPr>
              <w:t>Houses the self-manifested (Svayambhu) Virupaksha Linga; daily abhishekam performed.</w:t>
            </w:r>
          </w:p>
        </w:tc>
      </w:tr>
      <w:tr>
        <w:tc>
          <w:tcPr>
            <w:tcW w:type="dxa" w:w="2304"/>
            <w:shd w:fill="FAF6F0"/>
            <w:tcMar>
              <w:top w:w="80" w:type="dxa"/>
              <w:bottom w:w="80" w:type="dxa"/>
              <w:left w:w="100" w:type="dxa"/>
              <w:right w:w="100" w:type="dxa"/>
            </w:tcMar>
          </w:tcPr>
          <w:p>
            <w:pPr>
              <w:spacing w:after="0"/>
            </w:pPr>
            <w:r>
              <w:rPr>
                <w:color w:val="2D2D2D"/>
                <w:sz w:val="18"/>
              </w:rPr>
              <w:t>Shrine of Goddess Pampa</w:t>
            </w:r>
          </w:p>
        </w:tc>
        <w:tc>
          <w:tcPr>
            <w:tcW w:type="dxa" w:w="1728"/>
            <w:shd w:fill="FAF6F0"/>
            <w:tcMar>
              <w:top w:w="80" w:type="dxa"/>
              <w:bottom w:w="80" w:type="dxa"/>
              <w:left w:w="100" w:type="dxa"/>
              <w:right w:w="100" w:type="dxa"/>
            </w:tcMar>
          </w:tcPr>
          <w:p>
            <w:pPr>
              <w:spacing w:after="0"/>
            </w:pPr>
            <w:r>
              <w:rPr>
                <w:color w:val="2D2D2D"/>
                <w:sz w:val="18"/>
              </w:rPr>
              <w:t>Adjacent to main sanctum</w:t>
            </w:r>
          </w:p>
        </w:tc>
        <w:tc>
          <w:tcPr>
            <w:tcW w:type="dxa" w:w="2016"/>
            <w:shd w:fill="FAF6F0"/>
            <w:tcMar>
              <w:top w:w="80" w:type="dxa"/>
              <w:bottom w:w="80" w:type="dxa"/>
              <w:left w:w="100" w:type="dxa"/>
              <w:right w:w="100" w:type="dxa"/>
            </w:tcMar>
          </w:tcPr>
          <w:p>
            <w:pPr>
              <w:spacing w:after="0"/>
            </w:pPr>
            <w:r>
              <w:rPr>
                <w:color w:val="2D2D2D"/>
                <w:sz w:val="18"/>
              </w:rPr>
              <w:t>11th–12th Century CE</w:t>
            </w:r>
          </w:p>
        </w:tc>
        <w:tc>
          <w:tcPr>
            <w:tcW w:type="dxa" w:w="3744"/>
            <w:shd w:fill="FAF6F0"/>
            <w:tcMar>
              <w:top w:w="80" w:type="dxa"/>
              <w:bottom w:w="80" w:type="dxa"/>
              <w:left w:w="100" w:type="dxa"/>
              <w:right w:w="100" w:type="dxa"/>
            </w:tcMar>
          </w:tcPr>
          <w:p>
            <w:pPr>
              <w:spacing w:after="0"/>
            </w:pPr>
            <w:r>
              <w:rPr>
                <w:color w:val="2D2D2D"/>
                <w:sz w:val="18"/>
              </w:rPr>
              <w:t>Dedicated to Pampa Devi; sanctum crowned with stepped-pyramidal shikhara.</w:t>
            </w:r>
          </w:p>
        </w:tc>
      </w:tr>
      <w:tr>
        <w:tc>
          <w:tcPr>
            <w:tcW w:type="dxa" w:w="2304"/>
            <w:shd w:fill="FFFFFF"/>
            <w:tcMar>
              <w:top w:w="80" w:type="dxa"/>
              <w:bottom w:w="80" w:type="dxa"/>
              <w:left w:w="100" w:type="dxa"/>
              <w:right w:w="100" w:type="dxa"/>
            </w:tcMar>
          </w:tcPr>
          <w:p>
            <w:pPr>
              <w:spacing w:after="0"/>
            </w:pPr>
            <w:r>
              <w:rPr>
                <w:color w:val="2D2D2D"/>
                <w:sz w:val="18"/>
              </w:rPr>
              <w:t>Bhuvaneshwari Shrine</w:t>
            </w:r>
          </w:p>
        </w:tc>
        <w:tc>
          <w:tcPr>
            <w:tcW w:type="dxa" w:w="1728"/>
            <w:shd w:fill="FFFFFF"/>
            <w:tcMar>
              <w:top w:w="80" w:type="dxa"/>
              <w:bottom w:w="80" w:type="dxa"/>
              <w:left w:w="100" w:type="dxa"/>
              <w:right w:w="100" w:type="dxa"/>
            </w:tcMar>
          </w:tcPr>
          <w:p>
            <w:pPr>
              <w:spacing w:after="0"/>
            </w:pPr>
            <w:r>
              <w:rPr>
                <w:color w:val="2D2D2D"/>
                <w:sz w:val="18"/>
              </w:rPr>
              <w:t>Western courtyard</w:t>
            </w:r>
          </w:p>
        </w:tc>
        <w:tc>
          <w:tcPr>
            <w:tcW w:type="dxa" w:w="2016"/>
            <w:shd w:fill="FFFFFF"/>
            <w:tcMar>
              <w:top w:w="80" w:type="dxa"/>
              <w:bottom w:w="80" w:type="dxa"/>
              <w:left w:w="100" w:type="dxa"/>
              <w:right w:w="100" w:type="dxa"/>
            </w:tcMar>
          </w:tcPr>
          <w:p>
            <w:pPr>
              <w:spacing w:after="0"/>
            </w:pPr>
            <w:r>
              <w:rPr>
                <w:color w:val="2D2D2D"/>
                <w:sz w:val="18"/>
              </w:rPr>
              <w:t>12th c. Kalyana Chalukya</w:t>
            </w:r>
          </w:p>
        </w:tc>
        <w:tc>
          <w:tcPr>
            <w:tcW w:type="dxa" w:w="3744"/>
            <w:shd w:fill="FFFFFF"/>
            <w:tcMar>
              <w:top w:w="80" w:type="dxa"/>
              <w:bottom w:w="80" w:type="dxa"/>
              <w:left w:w="100" w:type="dxa"/>
              <w:right w:w="100" w:type="dxa"/>
            </w:tcMar>
          </w:tcPr>
          <w:p>
            <w:pPr>
              <w:spacing w:after="0"/>
            </w:pPr>
            <w:r>
              <w:rPr>
                <w:color w:val="2D2D2D"/>
                <w:sz w:val="18"/>
              </w:rPr>
              <w:t>Exquisite lathe-turned soapstone/chlorite pillars and intricately carved floral lotus ceiling ceiling dome.</w:t>
            </w:r>
          </w:p>
        </w:tc>
      </w:tr>
    </w:tbl>
    <w:p>
      <w:pPr>
        <w:spacing w:after="120"/>
      </w:pPr>
    </w:p>
    <w:p>
      <w:pPr>
        <w:keepNext/>
        <w:spacing w:before="280" w:after="80"/>
      </w:pPr>
      <w:r>
        <w:rPr>
          <w:rFonts w:ascii="Georgia" w:hAnsi="Georgia"/>
          <w:b/>
          <w:color w:val="8C2D19"/>
          <w:sz w:val="30"/>
        </w:rPr>
        <w:t>2. World-Famous Ceiling Frescoes of the Rangamantapa</w:t>
      </w:r>
    </w:p>
    <w:p>
      <w:pPr>
        <w:spacing w:after="100" w:line="276" w:lineRule="auto"/>
      </w:pPr>
      <w:r>
        <w:t>The ceiling panels of Krishnadevaraya's Rangamantapa preserve some of the finest medieval Vijayanagara tempera mural paintings in existence:</w:t>
      </w:r>
    </w:p>
    <w:p>
      <w:pPr>
        <w:spacing w:after="100" w:line="276" w:lineRule="auto"/>
      </w:pPr>
      <w:r>
        <w:t>1. The Sages' Procession (Vidyaranya Vijayam): Depicts Sage Vidyaranya riding in a ceremonial palanquin surrounded by royal guards, musicians, and devotees.</w:t>
        <w:br/>
        <w:t>2. The Divine Marriage (Kalyanasundara): The celestial wedding of Lord Virupaksha and Goddess Pampa witnessed by the Vedic pantheon.</w:t>
        <w:br/>
        <w:t>3. Shiva as Tripurantaka: Multi-armed Shiva standing atop the cosmic chariot with the cosmic bow targeting the three flying demon citadels.</w:t>
        <w:br/>
        <w:t>4. Arjuna Shooting the Matsya Yantra: The epic Mahabharata Draupadi Svayamvara scene where Arjuna pierces the eye of the revolving fish by looking at its water reflection.</w:t>
        <w:br/>
        <w:t>5. Dashavatara &amp; Dikpalas: Narrative bands depicting the ten incarnations of Vishnu and the eight directional guardian deities.</w:t>
      </w:r>
    </w:p>
    <w:p>
      <w:pPr>
        <w:keepNext/>
        <w:spacing w:before="280" w:after="80"/>
      </w:pPr>
      <w:r>
        <w:rPr>
          <w:rFonts w:ascii="Georgia" w:hAnsi="Georgia"/>
          <w:b/>
          <w:color w:val="8C2D19"/>
          <w:sz w:val="30"/>
        </w:rPr>
        <w:t>3. The Pinhole Camera Optical Phenomenon</w:t>
      </w:r>
    </w:p>
    <w:p>
      <w:pPr>
        <w:spacing w:after="100" w:line="276" w:lineRule="auto"/>
      </w:pPr>
      <w:r>
        <w:t>In a small chamber behind the main sanctum (accessible via the inner ambulatory corridor), sunlight passing through a triangular aperture (pinhole slit) in the granite masonry projects a sharp, inverted camera-obscura image of the 52-meter eastern Mahagopuram onto the interior wall. This celebrated feature demonstrates the Vijayanagara architects' practical mastery of geometric optics.</w:t>
      </w:r>
    </w:p>
    <w:p>
      <w:pPr>
        <w:keepNext/>
        <w:spacing w:before="280" w:after="80"/>
      </w:pPr>
      <w:r>
        <w:rPr>
          <w:rFonts w:ascii="Georgia" w:hAnsi="Georgia"/>
          <w:b/>
          <w:color w:val="8C2D19"/>
          <w:sz w:val="30"/>
        </w:rPr>
        <w:t>4. Living Heritage, Rituals &amp; Annual Rathotsava</w:t>
      </w:r>
    </w:p>
    <w:p>
      <w:pPr>
        <w:spacing w:after="100" w:line="276" w:lineRule="auto"/>
      </w:pPr>
      <w:r>
        <w:t>• Daily Puja Cycle: 5 formal daily pujas (Ushakkala, Kalasandhi, Uchikakala, Sayarakshai, Ardha-jama) conducted by hereditary priests following Shaiva Agama traditions.</w:t>
        <w:br/>
        <w:t>• Annual Rathotsava (Chariot Festival): Celebrated in March–April (Chaitra Poornima), drawing over 100,000 pilgrims who pull the massive 50-foot wooden chariot (Brahma Ratha) down the 1-km Hampi Bazaar street.</w:t>
        <w:br/>
        <w:t>• Phalapuja Festival (December): Celebrates the divine betrothal of Virupaksha and Pampa with ceremonial offerings.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8C8278"/>
        <w:sz w:val="16"/>
      </w:rPr>
      <w:t>Confidential &amp; Academic Heritage Documentation — Document Ref: HAM-DOC-07 — Vijayanagara Heritage Archive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86E64"/>
        <w:sz w:val="17"/>
      </w:rPr>
      <w:t>HAMPI CULTURAL HERITAGE ENCYCLOPEDIA | DIGITAL RESEARCH REPOSITORY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