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Georgia" w:hAnsi="Georgia"/>
          <w:b/>
          <w:color w:val="8C2D19"/>
          <w:sz w:val="44"/>
        </w:rPr>
        <w:t>08: THE VITTALA TEMPLE COMPLEX &amp; THE STONE CHARIOT</w:t>
      </w:r>
    </w:p>
    <w:p>
      <w:pPr>
        <w:spacing w:before="0" w:after="240"/>
      </w:pPr>
      <w:r>
        <w:rPr>
          <w:rFonts w:ascii="Georgia" w:hAnsi="Georgia"/>
          <w:i/>
          <w:color w:val="5A5046"/>
          <w:sz w:val="24"/>
        </w:rPr>
        <w:t>The Climax of Vijayanagara Dravidian Art, Architectural Acoustics &amp; Scientific Pillar Analysis</w:t>
      </w:r>
    </w:p>
    <w:tbl>
      <w:tblPr>
        <w:tblW w:type="auto" w:w="0"/>
        <w:jc w:val="center"/>
        <w:tblLook w:firstColumn="1" w:firstRow="1" w:lastColumn="0" w:lastRow="0" w:noHBand="0" w:noVBand="1" w:val="04A0"/>
      </w:tblPr>
      <w:tblGrid>
        <w:gridCol w:w="4968"/>
        <w:gridCol w:w="4968"/>
      </w:tblGrid>
      <w:tr>
        <w:tc>
          <w:tcPr>
            <w:tcW w:type="dxa" w:w="2592"/>
            <w:shd w:fill="F2ECE4"/>
            <w:tcMar>
              <w:top w:w="60" w:type="dxa"/>
              <w:bottom w:w="60" w:type="dxa"/>
              <w:left w:w="100" w:type="dxa"/>
              <w:right w:w="100" w:type="dxa"/>
            </w:tcMar>
          </w:tcPr>
          <w:p>
            <w:pPr>
              <w:spacing w:after="0"/>
            </w:pPr>
            <w:r>
              <w:rPr>
                <w:b/>
                <w:color w:val="502814"/>
                <w:sz w:val="19"/>
              </w:rPr>
              <w:t>Project:</w:t>
            </w:r>
          </w:p>
        </w:tc>
        <w:tc>
          <w:tcPr>
            <w:tcW w:type="dxa" w:w="7200"/>
            <w:shd w:fill="FAF7F2"/>
            <w:tcMar>
              <w:top w:w="60" w:type="dxa"/>
              <w:bottom w:w="60" w:type="dxa"/>
              <w:left w:w="100" w:type="dxa"/>
              <w:right w:w="100" w:type="dxa"/>
            </w:tcMar>
          </w:tcPr>
          <w:p>
            <w:pPr>
              <w:spacing w:after="0"/>
            </w:pPr>
            <w:r>
              <w:rPr>
                <w:color w:val="323232"/>
                <w:sz w:val="19"/>
              </w:rPr>
              <w:t>Antigravity Indian Cultural Heritage Knowledge Platform (Hampi, Karnataka)</w:t>
            </w:r>
          </w:p>
        </w:tc>
      </w:tr>
      <w:tr>
        <w:tc>
          <w:tcPr>
            <w:tcW w:type="dxa" w:w="2592"/>
            <w:shd w:fill="F2ECE4"/>
            <w:tcMar>
              <w:top w:w="60" w:type="dxa"/>
              <w:bottom w:w="60" w:type="dxa"/>
              <w:left w:w="100" w:type="dxa"/>
              <w:right w:w="100" w:type="dxa"/>
            </w:tcMar>
          </w:tcPr>
          <w:p>
            <w:pPr>
              <w:spacing w:after="0"/>
            </w:pPr>
            <w:r>
              <w:rPr>
                <w:b/>
                <w:color w:val="502814"/>
                <w:sz w:val="19"/>
              </w:rPr>
              <w:t>Research Team:</w:t>
            </w:r>
          </w:p>
        </w:tc>
        <w:tc>
          <w:tcPr>
            <w:tcW w:type="dxa" w:w="7200"/>
            <w:shd w:fill="FAF7F2"/>
            <w:tcMar>
              <w:top w:w="60" w:type="dxa"/>
              <w:bottom w:w="60" w:type="dxa"/>
              <w:left w:w="100" w:type="dxa"/>
              <w:right w:w="100" w:type="dxa"/>
            </w:tcMar>
          </w:tcPr>
          <w:p>
            <w:pPr>
              <w:spacing w:after="0"/>
            </w:pPr>
            <w:r>
              <w:rPr>
                <w:color w:val="323232"/>
                <w:sz w:val="19"/>
              </w:rPr>
              <w:t>Historians, Epigraphists, Archaeologists, Architectural Historians, Anthropologists, Digital Knowledge Architects</w:t>
            </w:r>
          </w:p>
        </w:tc>
      </w:tr>
      <w:tr>
        <w:tc>
          <w:tcPr>
            <w:tcW w:type="dxa" w:w="2592"/>
            <w:shd w:fill="F2ECE4"/>
            <w:tcMar>
              <w:top w:w="60" w:type="dxa"/>
              <w:bottom w:w="60" w:type="dxa"/>
              <w:left w:w="100" w:type="dxa"/>
              <w:right w:w="100" w:type="dxa"/>
            </w:tcMar>
          </w:tcPr>
          <w:p>
            <w:pPr>
              <w:spacing w:after="0"/>
            </w:pPr>
            <w:r>
              <w:rPr>
                <w:b/>
                <w:color w:val="502814"/>
                <w:sz w:val="19"/>
              </w:rPr>
              <w:t>Source Hierarchy:</w:t>
            </w:r>
          </w:p>
        </w:tc>
        <w:tc>
          <w:tcPr>
            <w:tcW w:type="dxa" w:w="7200"/>
            <w:shd w:fill="FAF7F2"/>
            <w:tcMar>
              <w:top w:w="60" w:type="dxa"/>
              <w:bottom w:w="60" w:type="dxa"/>
              <w:left w:w="100" w:type="dxa"/>
              <w:right w:w="100" w:type="dxa"/>
            </w:tcMar>
          </w:tcPr>
          <w:p>
            <w:pPr>
              <w:spacing w:after="0"/>
            </w:pPr>
            <w:r>
              <w:rPr>
                <w:color w:val="323232"/>
                <w:sz w:val="19"/>
              </w:rPr>
              <w:t>Tier 1 (UNESCO, ASI, State Epigraphy) &amp; Tier 2 (Academic Monographs &amp; Journals)</w:t>
            </w:r>
          </w:p>
        </w:tc>
      </w:tr>
      <w:tr>
        <w:tc>
          <w:tcPr>
            <w:tcW w:type="dxa" w:w="2592"/>
            <w:shd w:fill="F2ECE4"/>
            <w:tcMar>
              <w:top w:w="60" w:type="dxa"/>
              <w:bottom w:w="60" w:type="dxa"/>
              <w:left w:w="100" w:type="dxa"/>
              <w:right w:w="100" w:type="dxa"/>
            </w:tcMar>
          </w:tcPr>
          <w:p>
            <w:pPr>
              <w:spacing w:after="0"/>
            </w:pPr>
            <w:r>
              <w:rPr>
                <w:b/>
                <w:color w:val="502814"/>
                <w:sz w:val="19"/>
              </w:rPr>
              <w:t>Geographical Context:</w:t>
            </w:r>
          </w:p>
        </w:tc>
        <w:tc>
          <w:tcPr>
            <w:tcW w:type="dxa" w:w="7200"/>
            <w:shd w:fill="FAF7F2"/>
            <w:tcMar>
              <w:top w:w="60" w:type="dxa"/>
              <w:bottom w:w="60" w:type="dxa"/>
              <w:left w:w="100" w:type="dxa"/>
              <w:right w:w="100" w:type="dxa"/>
            </w:tcMar>
          </w:tcPr>
          <w:p>
            <w:pPr>
              <w:spacing w:after="0"/>
            </w:pPr>
            <w:r>
              <w:rPr>
                <w:color w:val="323232"/>
                <w:sz w:val="19"/>
              </w:rPr>
              <w:t>Hampi World Heritage Site, Vijayanagara Metropolitan Region, Bellary/Vijayanagara Dist, Karnataka</w:t>
            </w:r>
          </w:p>
        </w:tc>
      </w:tr>
    </w:tbl>
    <w:p>
      <w:pPr>
        <w:spacing w:after="160"/>
      </w:pPr>
    </w:p>
    <w:p>
      <w:pPr>
        <w:keepNext/>
        <w:spacing w:before="280" w:after="80"/>
      </w:pPr>
      <w:r>
        <w:rPr>
          <w:rFonts w:ascii="Georgia" w:hAnsi="Georgia"/>
          <w:b/>
          <w:color w:val="8C2D19"/>
          <w:sz w:val="30"/>
        </w:rPr>
        <w:t>1. Architectural Grandeur of the Vittala Complex</w:t>
      </w:r>
    </w:p>
    <w:p>
      <w:pPr>
        <w:spacing w:after="100" w:line="276" w:lineRule="auto"/>
      </w:pPr>
      <w:r>
        <w:t>The Vittala Temple Complex (IAST: Viṭṭhala), dedicated to Lord Vishnu in his manifestation as Vittala (popular in the Maharashtra-Karnataka borderland), represents the absolute zenith of Vijayanagara architectural opulence and sculptural virtuosity.</w:t>
      </w:r>
    </w:p>
    <w:tbl>
      <w:tblPr>
        <w:tblW w:type="auto" w:w="0"/>
        <w:jc w:val="center"/>
        <w:tblLook w:firstColumn="1" w:firstRow="1" w:lastColumn="0" w:lastRow="0" w:noHBand="0" w:noVBand="1" w:val="04A0"/>
      </w:tblPr>
      <w:tblGrid>
        <w:gridCol w:w="9936"/>
      </w:tblGrid>
      <w:tr>
        <w:tc>
          <w:tcPr>
            <w:tcW w:type="dxa" w:w="9792"/>
            <w:shd w:fill="FFF8EE"/>
            <w:tcMar>
              <w:top w:w="120" w:type="dxa"/>
              <w:bottom w:w="120" w:type="dxa"/>
              <w:left w:w="180" w:type="dxa"/>
              <w:right w:w="180" w:type="dxa"/>
            </w:tcMar>
            <w:tcBorders>
              <w:top w:val="none" w:sz="0" w:space="0" w:color="auto"/>
              <w:left w:val="single" w:sz="24" w:space="0" w:color="C27D38"/>
              <w:bottom w:val="none" w:sz="0" w:space="0" w:color="auto"/>
              <w:right w:val="none" w:sz="0" w:space="0" w:color="auto"/>
            </w:tcBorders>
          </w:tcPr>
          <w:p>
            <w:pPr>
              <w:spacing w:after="60"/>
            </w:pPr>
            <w:r>
              <w:rPr>
                <w:b/>
                <w:color w:val="A03C14"/>
                <w:sz w:val="19"/>
              </w:rPr>
              <w:t>[EPIGRAPHIC DATING &amp; ROYAL PATRONAGE]</w:t>
              <w:br/>
            </w:r>
            <w:r>
              <w:rPr>
                <w:color w:val="3C3228"/>
                <w:sz w:val="20"/>
              </w:rPr>
              <w:t>ARCHITECTURAL &amp; EPIGRAPHICAL FACT: Consecrated in the early 15th century (under Devaraya II), the complex received its most magnificent additions—including the Mahamandapa, Kalyanamandapa, and Stone Chariot—under Emperor Krishnadevaraya and his royal consorts Tirumala Devi and Chinnadevi between 1513 and 1528 CE.</w:t>
            </w:r>
          </w:p>
        </w:tc>
      </w:tr>
    </w:tbl>
    <w:p>
      <w:pPr>
        <w:spacing w:after="80"/>
      </w:pPr>
    </w:p>
    <w:p>
      <w:pPr>
        <w:keepNext/>
        <w:spacing w:before="200" w:after="60"/>
      </w:pPr>
      <w:r>
        <w:rPr>
          <w:rFonts w:ascii="Georgia" w:hAnsi="Georgia"/>
          <w:b/>
          <w:color w:val="3C3228"/>
          <w:sz w:val="25"/>
        </w:rPr>
        <w:t>Principal Architectural Components</w:t>
      </w:r>
    </w:p>
    <w:tbl>
      <w:tblPr>
        <w:tblW w:type="auto" w:w="0"/>
        <w:jc w:val="center"/>
        <w:tblLook w:firstColumn="1" w:firstRow="1" w:lastColumn="0" w:lastRow="0" w:noHBand="0" w:noVBand="1" w:val="04A0"/>
      </w:tblPr>
      <w:tblGrid>
        <w:gridCol w:w="3312"/>
        <w:gridCol w:w="3312"/>
        <w:gridCol w:w="3312"/>
      </w:tblGrid>
      <w:tr>
        <w:tc>
          <w:tcPr>
            <w:tcW w:type="dxa" w:w="2592"/>
            <w:shd w:fill="78321E"/>
            <w:tcMar>
              <w:top w:w="100" w:type="dxa"/>
              <w:bottom w:w="100" w:type="dxa"/>
              <w:left w:w="120" w:type="dxa"/>
              <w:right w:w="120" w:type="dxa"/>
            </w:tcMar>
          </w:tcPr>
          <w:p>
            <w:pPr>
              <w:spacing w:after="0"/>
            </w:pPr>
            <w:r>
              <w:rPr>
                <w:b/>
                <w:color w:val="FFFFFF"/>
                <w:sz w:val="19"/>
              </w:rPr>
              <w:t>Component</w:t>
            </w:r>
          </w:p>
        </w:tc>
        <w:tc>
          <w:tcPr>
            <w:tcW w:type="dxa" w:w="2016"/>
            <w:shd w:fill="78321E"/>
            <w:tcMar>
              <w:top w:w="100" w:type="dxa"/>
              <w:bottom w:w="100" w:type="dxa"/>
              <w:left w:w="120" w:type="dxa"/>
              <w:right w:w="120" w:type="dxa"/>
            </w:tcMar>
          </w:tcPr>
          <w:p>
            <w:pPr>
              <w:spacing w:after="0"/>
            </w:pPr>
            <w:r>
              <w:rPr>
                <w:b/>
                <w:color w:val="FFFFFF"/>
                <w:sz w:val="19"/>
              </w:rPr>
              <w:t>Dimensions</w:t>
            </w:r>
          </w:p>
        </w:tc>
        <w:tc>
          <w:tcPr>
            <w:tcW w:type="dxa" w:w="5184"/>
            <w:shd w:fill="78321E"/>
            <w:tcMar>
              <w:top w:w="100" w:type="dxa"/>
              <w:bottom w:w="100" w:type="dxa"/>
              <w:left w:w="120" w:type="dxa"/>
              <w:right w:w="120" w:type="dxa"/>
            </w:tcMar>
          </w:tcPr>
          <w:p>
            <w:pPr>
              <w:spacing w:after="0"/>
            </w:pPr>
            <w:r>
              <w:rPr>
                <w:b/>
                <w:color w:val="FFFFFF"/>
                <w:sz w:val="19"/>
              </w:rPr>
              <w:t>Key Features &amp; Art Historical Importance</w:t>
            </w:r>
          </w:p>
        </w:tc>
      </w:tr>
      <w:tr>
        <w:tc>
          <w:tcPr>
            <w:tcW w:type="dxa" w:w="2592"/>
            <w:shd w:fill="FAF6F0"/>
            <w:tcMar>
              <w:top w:w="80" w:type="dxa"/>
              <w:bottom w:w="80" w:type="dxa"/>
              <w:left w:w="100" w:type="dxa"/>
              <w:right w:w="100" w:type="dxa"/>
            </w:tcMar>
          </w:tcPr>
          <w:p>
            <w:pPr>
              <w:spacing w:after="0"/>
            </w:pPr>
            <w:r>
              <w:rPr>
                <w:color w:val="2D2D2D"/>
                <w:sz w:val="18"/>
              </w:rPr>
              <w:t>Mahamandapa (Pillared Hall)</w:t>
            </w:r>
          </w:p>
        </w:tc>
        <w:tc>
          <w:tcPr>
            <w:tcW w:type="dxa" w:w="2016"/>
            <w:shd w:fill="FAF6F0"/>
            <w:tcMar>
              <w:top w:w="80" w:type="dxa"/>
              <w:bottom w:w="80" w:type="dxa"/>
              <w:left w:w="100" w:type="dxa"/>
              <w:right w:w="100" w:type="dxa"/>
            </w:tcMar>
          </w:tcPr>
          <w:p>
            <w:pPr>
              <w:spacing w:after="0"/>
            </w:pPr>
            <w:r>
              <w:rPr>
                <w:color w:val="2D2D2D"/>
                <w:sz w:val="18"/>
              </w:rPr>
              <w:t>56 Composite Monolithic Pillars</w:t>
            </w:r>
          </w:p>
        </w:tc>
        <w:tc>
          <w:tcPr>
            <w:tcW w:type="dxa" w:w="5184"/>
            <w:shd w:fill="FAF6F0"/>
            <w:tcMar>
              <w:top w:w="80" w:type="dxa"/>
              <w:bottom w:w="80" w:type="dxa"/>
              <w:left w:w="100" w:type="dxa"/>
              <w:right w:w="100" w:type="dxa"/>
            </w:tcMar>
          </w:tcPr>
          <w:p>
            <w:pPr>
              <w:spacing w:after="0"/>
            </w:pPr>
            <w:r>
              <w:rPr>
                <w:color w:val="2D2D2D"/>
                <w:sz w:val="18"/>
              </w:rPr>
              <w:t>Divided into 4 functional halls; houses the famous acoustic pillars, Yali riders, and intricate tiered basement friezes.</w:t>
            </w:r>
          </w:p>
        </w:tc>
      </w:tr>
      <w:tr>
        <w:tc>
          <w:tcPr>
            <w:tcW w:type="dxa" w:w="2592"/>
            <w:shd w:fill="FFFFFF"/>
            <w:tcMar>
              <w:top w:w="80" w:type="dxa"/>
              <w:bottom w:w="80" w:type="dxa"/>
              <w:left w:w="100" w:type="dxa"/>
              <w:right w:w="100" w:type="dxa"/>
            </w:tcMar>
          </w:tcPr>
          <w:p>
            <w:pPr>
              <w:spacing w:after="0"/>
            </w:pPr>
            <w:r>
              <w:rPr>
                <w:color w:val="2D2D2D"/>
                <w:sz w:val="18"/>
              </w:rPr>
              <w:t>Stone Chariot (Garuda Shrine)</w:t>
            </w:r>
          </w:p>
        </w:tc>
        <w:tc>
          <w:tcPr>
            <w:tcW w:type="dxa" w:w="2016"/>
            <w:shd w:fill="FFFFFF"/>
            <w:tcMar>
              <w:top w:w="80" w:type="dxa"/>
              <w:bottom w:w="80" w:type="dxa"/>
              <w:left w:w="100" w:type="dxa"/>
              <w:right w:w="100" w:type="dxa"/>
            </w:tcMar>
          </w:tcPr>
          <w:p>
            <w:pPr>
              <w:spacing w:after="0"/>
            </w:pPr>
            <w:r>
              <w:rPr>
                <w:color w:val="2D2D2D"/>
                <w:sz w:val="18"/>
              </w:rPr>
              <w:t>5.5 m high; 4 stone wheels</w:t>
            </w:r>
          </w:p>
        </w:tc>
        <w:tc>
          <w:tcPr>
            <w:tcW w:type="dxa" w:w="5184"/>
            <w:shd w:fill="FFFFFF"/>
            <w:tcMar>
              <w:top w:w="80" w:type="dxa"/>
              <w:bottom w:w="80" w:type="dxa"/>
              <w:left w:w="100" w:type="dxa"/>
              <w:right w:w="100" w:type="dxa"/>
            </w:tcMar>
          </w:tcPr>
          <w:p>
            <w:pPr>
              <w:spacing w:after="0"/>
            </w:pPr>
            <w:r>
              <w:rPr>
                <w:color w:val="2D2D2D"/>
                <w:sz w:val="18"/>
              </w:rPr>
              <w:t>World-renowned icon; monolithic shrine representing the processional chariot of Garuda; revolving stone axles.</w:t>
            </w:r>
          </w:p>
        </w:tc>
      </w:tr>
      <w:tr>
        <w:tc>
          <w:tcPr>
            <w:tcW w:type="dxa" w:w="2592"/>
            <w:shd w:fill="FAF6F0"/>
            <w:tcMar>
              <w:top w:w="80" w:type="dxa"/>
              <w:bottom w:w="80" w:type="dxa"/>
              <w:left w:w="100" w:type="dxa"/>
              <w:right w:w="100" w:type="dxa"/>
            </w:tcMar>
          </w:tcPr>
          <w:p>
            <w:pPr>
              <w:spacing w:after="0"/>
            </w:pPr>
            <w:r>
              <w:rPr>
                <w:color w:val="2D2D2D"/>
                <w:sz w:val="18"/>
              </w:rPr>
              <w:t>Kalyanamandapa (Marriage Hall)</w:t>
            </w:r>
          </w:p>
        </w:tc>
        <w:tc>
          <w:tcPr>
            <w:tcW w:type="dxa" w:w="2016"/>
            <w:shd w:fill="FAF6F0"/>
            <w:tcMar>
              <w:top w:w="80" w:type="dxa"/>
              <w:bottom w:w="80" w:type="dxa"/>
              <w:left w:w="100" w:type="dxa"/>
              <w:right w:w="100" w:type="dxa"/>
            </w:tcMar>
          </w:tcPr>
          <w:p>
            <w:pPr>
              <w:spacing w:after="0"/>
            </w:pPr>
            <w:r>
              <w:rPr>
                <w:color w:val="2D2D2D"/>
                <w:sz w:val="18"/>
              </w:rPr>
              <w:t>Open 48-pillared hall</w:t>
            </w:r>
          </w:p>
        </w:tc>
        <w:tc>
          <w:tcPr>
            <w:tcW w:type="dxa" w:w="5184"/>
            <w:shd w:fill="FAF6F0"/>
            <w:tcMar>
              <w:top w:w="80" w:type="dxa"/>
              <w:bottom w:w="80" w:type="dxa"/>
              <w:left w:w="100" w:type="dxa"/>
              <w:right w:w="100" w:type="dxa"/>
            </w:tcMar>
          </w:tcPr>
          <w:p>
            <w:pPr>
              <w:spacing w:after="0"/>
            </w:pPr>
            <w:r>
              <w:rPr>
                <w:color w:val="2D2D2D"/>
                <w:sz w:val="18"/>
              </w:rPr>
              <w:t>Masterwork of intricate micro-carvings depicting celestial musicians, dancers, and epic avatars.</w:t>
            </w:r>
          </w:p>
        </w:tc>
      </w:tr>
      <w:tr>
        <w:tc>
          <w:tcPr>
            <w:tcW w:type="dxa" w:w="2592"/>
            <w:shd w:fill="FFFFFF"/>
            <w:tcMar>
              <w:top w:w="80" w:type="dxa"/>
              <w:bottom w:w="80" w:type="dxa"/>
              <w:left w:w="100" w:type="dxa"/>
              <w:right w:w="100" w:type="dxa"/>
            </w:tcMar>
          </w:tcPr>
          <w:p>
            <w:pPr>
              <w:spacing w:after="0"/>
            </w:pPr>
            <w:r>
              <w:rPr>
                <w:color w:val="2D2D2D"/>
                <w:sz w:val="18"/>
              </w:rPr>
              <w:t>Utsavamandapa</w:t>
            </w:r>
          </w:p>
        </w:tc>
        <w:tc>
          <w:tcPr>
            <w:tcW w:type="dxa" w:w="2016"/>
            <w:shd w:fill="FFFFFF"/>
            <w:tcMar>
              <w:top w:w="80" w:type="dxa"/>
              <w:bottom w:w="80" w:type="dxa"/>
              <w:left w:w="100" w:type="dxa"/>
              <w:right w:w="100" w:type="dxa"/>
            </w:tcMar>
          </w:tcPr>
          <w:p>
            <w:pPr>
              <w:spacing w:after="0"/>
            </w:pPr>
            <w:r>
              <w:rPr>
                <w:color w:val="2D2D2D"/>
                <w:sz w:val="18"/>
              </w:rPr>
              <w:t>36-pillared pavilion</w:t>
            </w:r>
          </w:p>
        </w:tc>
        <w:tc>
          <w:tcPr>
            <w:tcW w:type="dxa" w:w="5184"/>
            <w:shd w:fill="FFFFFF"/>
            <w:tcMar>
              <w:top w:w="80" w:type="dxa"/>
              <w:bottom w:w="80" w:type="dxa"/>
              <w:left w:w="100" w:type="dxa"/>
              <w:right w:w="100" w:type="dxa"/>
            </w:tcMar>
          </w:tcPr>
          <w:p>
            <w:pPr>
              <w:spacing w:after="0"/>
            </w:pPr>
            <w:r>
              <w:rPr>
                <w:color w:val="2D2D2D"/>
                <w:sz w:val="18"/>
              </w:rPr>
              <w:t>Used for annual festive ceremonies; flanked by deeply undercut granite rearing horses.</w:t>
            </w:r>
          </w:p>
        </w:tc>
      </w:tr>
      <w:tr>
        <w:tc>
          <w:tcPr>
            <w:tcW w:type="dxa" w:w="2592"/>
            <w:shd w:fill="FAF6F0"/>
            <w:tcMar>
              <w:top w:w="80" w:type="dxa"/>
              <w:bottom w:w="80" w:type="dxa"/>
              <w:left w:w="100" w:type="dxa"/>
              <w:right w:w="100" w:type="dxa"/>
            </w:tcMar>
          </w:tcPr>
          <w:p>
            <w:pPr>
              <w:spacing w:after="0"/>
            </w:pPr>
            <w:r>
              <w:rPr>
                <w:color w:val="2D2D2D"/>
                <w:sz w:val="18"/>
              </w:rPr>
              <w:t>Amman Shrine (Rukmini Shrine)</w:t>
            </w:r>
          </w:p>
        </w:tc>
        <w:tc>
          <w:tcPr>
            <w:tcW w:type="dxa" w:w="2016"/>
            <w:shd w:fill="FAF6F0"/>
            <w:tcMar>
              <w:top w:w="80" w:type="dxa"/>
              <w:bottom w:w="80" w:type="dxa"/>
              <w:left w:w="100" w:type="dxa"/>
              <w:right w:w="100" w:type="dxa"/>
            </w:tcMar>
          </w:tcPr>
          <w:p>
            <w:pPr>
              <w:spacing w:after="0"/>
            </w:pPr>
            <w:r>
              <w:rPr>
                <w:color w:val="2D2D2D"/>
                <w:sz w:val="18"/>
              </w:rPr>
              <w:t>Independent temple structure</w:t>
            </w:r>
          </w:p>
        </w:tc>
        <w:tc>
          <w:tcPr>
            <w:tcW w:type="dxa" w:w="5184"/>
            <w:shd w:fill="FAF6F0"/>
            <w:tcMar>
              <w:top w:w="80" w:type="dxa"/>
              <w:bottom w:w="80" w:type="dxa"/>
              <w:left w:w="100" w:type="dxa"/>
              <w:right w:w="100" w:type="dxa"/>
            </w:tcMar>
          </w:tcPr>
          <w:p>
            <w:pPr>
              <w:spacing w:after="0"/>
            </w:pPr>
            <w:r>
              <w:rPr>
                <w:color w:val="2D2D2D"/>
                <w:sz w:val="18"/>
              </w:rPr>
              <w:t>Dedicated to Rukmini/Radha with double-pillared mukhamandapa and classical Dravidian vimana.</w:t>
            </w:r>
          </w:p>
        </w:tc>
      </w:tr>
      <w:tr>
        <w:tc>
          <w:tcPr>
            <w:tcW w:type="dxa" w:w="2592"/>
            <w:shd w:fill="FFFFFF"/>
            <w:tcMar>
              <w:top w:w="80" w:type="dxa"/>
              <w:bottom w:w="80" w:type="dxa"/>
              <w:left w:w="100" w:type="dxa"/>
              <w:right w:w="100" w:type="dxa"/>
            </w:tcMar>
          </w:tcPr>
          <w:p>
            <w:pPr>
              <w:spacing w:after="0"/>
            </w:pPr>
            <w:r>
              <w:rPr>
                <w:color w:val="2D2D2D"/>
                <w:sz w:val="18"/>
              </w:rPr>
              <w:t>Enclosing Prakara &amp; Gopurams</w:t>
            </w:r>
          </w:p>
        </w:tc>
        <w:tc>
          <w:tcPr>
            <w:tcW w:type="dxa" w:w="2016"/>
            <w:shd w:fill="FFFFFF"/>
            <w:tcMar>
              <w:top w:w="80" w:type="dxa"/>
              <w:bottom w:w="80" w:type="dxa"/>
              <w:left w:w="100" w:type="dxa"/>
              <w:right w:w="100" w:type="dxa"/>
            </w:tcMar>
          </w:tcPr>
          <w:p>
            <w:pPr>
              <w:spacing w:after="0"/>
            </w:pPr>
            <w:r>
              <w:rPr>
                <w:color w:val="2D2D2D"/>
                <w:sz w:val="18"/>
              </w:rPr>
              <w:t>152 m x 94 m walled quadrangle</w:t>
            </w:r>
          </w:p>
        </w:tc>
        <w:tc>
          <w:tcPr>
            <w:tcW w:type="dxa" w:w="5184"/>
            <w:shd w:fill="FFFFFF"/>
            <w:tcMar>
              <w:top w:w="80" w:type="dxa"/>
              <w:bottom w:w="80" w:type="dxa"/>
              <w:left w:w="100" w:type="dxa"/>
              <w:right w:w="100" w:type="dxa"/>
            </w:tcMar>
          </w:tcPr>
          <w:p>
            <w:pPr>
              <w:spacing w:after="0"/>
            </w:pPr>
            <w:r>
              <w:rPr>
                <w:color w:val="2D2D2D"/>
                <w:sz w:val="18"/>
              </w:rPr>
              <w:t>Three monumental gateways with granite sub-structures and terracotta-brick superstructures.</w:t>
            </w:r>
          </w:p>
        </w:tc>
      </w:tr>
    </w:tbl>
    <w:p>
      <w:pPr>
        <w:spacing w:after="120"/>
      </w:pPr>
    </w:p>
    <w:p>
      <w:pPr>
        <w:keepNext/>
        <w:spacing w:before="280" w:after="80"/>
      </w:pPr>
      <w:r>
        <w:rPr>
          <w:rFonts w:ascii="Georgia" w:hAnsi="Georgia"/>
          <w:b/>
          <w:color w:val="8C2D19"/>
          <w:sz w:val="30"/>
        </w:rPr>
        <w:t>2. The Stone Chariot (Garuda Shrine)</w:t>
      </w:r>
    </w:p>
    <w:p>
      <w:pPr>
        <w:spacing w:after="100" w:line="276" w:lineRule="auto"/>
      </w:pPr>
      <w:r>
        <w:t>The iconic Stone Chariot of Vittala Temple stands as a supreme triumph of Indian stone engineering:</w:t>
        <w:br/>
        <w:t>• Function &amp; Identity: It is not an actual mobile vehicle but a structural shrine dedicated to Garuda (the eagle vahana of Vishnu), strategically aligned directly facing the sanctum of Lord Vittala.</w:t>
        <w:br/>
        <w:t>• Masonry Construction: Though appearing monolithic, it is assembled from carved granite blocks joined by concealed mortise-and-tenon joints.</w:t>
        <w:br/>
        <w:t>• Wheels &amp; Axles: Four carved stone wheels originally rotated around stone axles (locked in modern times by the ASI to prevent conservation wear).</w:t>
        <w:br/>
        <w:t>• Superstructure: British colonial photographs taken in 1856 by Alexander Greenlaw prove the chariot originally possessed a tiered brick-and-stucco Dravidian shikhara dome, dismantled for structural safety in the late 19th century.</w:t>
        <w:br/>
        <w:t>• Elephant Balustrades: The two stone elephants guarding the front stairs were moved here by colonial conservators from another ruined pavilion; originally, stone horses pulled the chariot (traces of horse tails remain visible behind the elephants).</w:t>
      </w:r>
    </w:p>
    <w:p>
      <w:pPr>
        <w:keepNext/>
        <w:spacing w:before="280" w:after="80"/>
      </w:pPr>
      <w:r>
        <w:rPr>
          <w:rFonts w:ascii="Georgia" w:hAnsi="Georgia"/>
          <w:b/>
          <w:color w:val="8C2D19"/>
          <w:sz w:val="30"/>
        </w:rPr>
        <w:t>3. Scientific Acoustic Analysis of the 'Musical Pillars'</w:t>
      </w:r>
    </w:p>
    <w:p>
      <w:pPr>
        <w:spacing w:after="100" w:line="276" w:lineRule="auto"/>
      </w:pPr>
      <w:r>
        <w:t>The Mahamandapa contains 56 monolithic composite pillars, each consisting of a central load-bearing fluted column surrounded by 7 to 8 slender satellite colonnettes carved from a single block of high-density resonant granite.</w:t>
      </w:r>
    </w:p>
    <w:tbl>
      <w:tblPr>
        <w:tblW w:type="auto" w:w="0"/>
        <w:jc w:val="center"/>
        <w:tblLook w:firstColumn="1" w:firstRow="1" w:lastColumn="0" w:lastRow="0" w:noHBand="0" w:noVBand="1" w:val="04A0"/>
      </w:tblPr>
      <w:tblGrid>
        <w:gridCol w:w="9936"/>
      </w:tblGrid>
      <w:tr>
        <w:tc>
          <w:tcPr>
            <w:tcW w:type="dxa" w:w="9792"/>
            <w:shd w:fill="FFF8EE"/>
            <w:tcMar>
              <w:top w:w="120" w:type="dxa"/>
              <w:bottom w:w="120" w:type="dxa"/>
              <w:left w:w="180" w:type="dxa"/>
              <w:right w:w="180" w:type="dxa"/>
            </w:tcMar>
            <w:tcBorders>
              <w:top w:val="none" w:sz="0" w:space="0" w:color="auto"/>
              <w:left w:val="single" w:sz="24" w:space="0" w:color="C27D38"/>
              <w:bottom w:val="none" w:sz="0" w:space="0" w:color="auto"/>
              <w:right w:val="none" w:sz="0" w:space="0" w:color="auto"/>
            </w:tcBorders>
          </w:tcPr>
          <w:p>
            <w:pPr>
              <w:spacing w:after="60"/>
            </w:pPr>
            <w:r>
              <w:rPr>
                <w:b/>
                <w:color w:val="A03C14"/>
                <w:sz w:val="19"/>
              </w:rPr>
              <w:t>[RIGOROUS SCIENTIFIC ACOUSTIC VERIFICATION]</w:t>
              <w:br/>
            </w:r>
            <w:r>
              <w:rPr>
                <w:color w:val="3C3228"/>
                <w:sz w:val="20"/>
              </w:rPr>
              <w:t>SCIENTIFIC ACOUSTIC REALITY VS POPULAR MYTHS:</w:t>
              <w:br/>
              <w:t>POPULAR EXAGGERATION: Claims that the pillars contain 'hollow metal cores', 'radioactive elements', or were 'carved by alien technology'.</w:t>
              <w:br/>
              <w:t>PHYSICAL &amp; ACOUSTIC FACT (ASI &amp; National Physical Laboratory studies): The pillars are 100% solid granite with high quartz content and uniform density. When tapped gently, different colonnettes resonate at specific acoustic frequencies (natural modal resonances) corresponding to Indian musical notes (Saptasvaras: Sa, Re, Ga, Ma, Pa, Dha, Ni). The frequencies vary depending on column diameter, length, and carved tension.</w:t>
              <w:br/>
              <w:t>CONSERVATION NOTICE: Tapping or striking the musical pillars is strictly prohibited by the ASI under the AMASR Act to prevent microscopic stress fractures and granite erosion.</w:t>
            </w:r>
          </w:p>
        </w:tc>
      </w:tr>
    </w:tbl>
    <w:p>
      <w:pPr>
        <w:spacing w:after="8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8C8278"/>
        <w:sz w:val="16"/>
      </w:rPr>
      <w:t>Confidential &amp; Academic Heritage Documentation — Document Ref: HAM-DOC-08 — Vijayanagara Heritage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786E64"/>
        <w:sz w:val="17"/>
      </w:rPr>
      <w:t>HAMPI CULTURAL HERITAGE ENCYCLOPEDIA | DIGITAL RESEARCH REPOSITORY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