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12: HEMAKUTA HILL &amp; PRE-VIJAYANAGARA SHRINES</w:t>
      </w:r>
    </w:p>
    <w:p>
      <w:pPr>
        <w:spacing w:before="0" w:after="240"/>
      </w:pPr>
      <w:r>
        <w:rPr>
          <w:rFonts w:ascii="Georgia" w:hAnsi="Georgia"/>
          <w:i/>
          <w:color w:val="5A5046"/>
          <w:sz w:val="24"/>
        </w:rPr>
        <w:t>The Sacred Hill of Penance, Kadamba-Chalukya Architecture, and the Colossal Ganeshas</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Sacred Geography &amp; Mythological Tradition</w:t>
      </w:r>
    </w:p>
    <w:p>
      <w:pPr>
        <w:spacing w:after="100" w:line="276" w:lineRule="auto"/>
      </w:pPr>
      <w:r>
        <w:t>Hemakuta Hill is a sprawling granite hill sloping gently south of the Virupaksha Temple. In regional folklore, it is revered as the spot where Lord Shiva performed cosmic penance and incinerated Kamadeva (the god of desire) with his third eye when interrupted.</w:t>
      </w:r>
    </w:p>
    <w:p>
      <w:pPr>
        <w:keepNext/>
        <w:spacing w:before="200" w:after="60"/>
      </w:pPr>
      <w:r>
        <w:rPr>
          <w:rFonts w:ascii="Georgia" w:hAnsi="Georgia"/>
          <w:b/>
          <w:color w:val="3C3228"/>
          <w:sz w:val="25"/>
        </w:rPr>
        <w:t>Pre-Vijayanagara (9th–14th Century) Shrines</w:t>
      </w:r>
    </w:p>
    <w:p>
      <w:pPr>
        <w:spacing w:after="100" w:line="276" w:lineRule="auto"/>
      </w:pPr>
      <w:r>
        <w:t>Hemakuta preserves an extraordinary cluster of over 35 early structural stone temples representing the transition from Badami and Kalyana Chalukyan idioms to the Kadamba-Nagara (Phamsana) style:</w:t>
        <w:br/>
        <w:t>• Phamsana Stepped Pyramidal Superstructures: Plain horizontal stepped tiers of granite crowned by square or ribbed amalaka kalashas.</w:t>
        <w:br/>
        <w:t>• Trikuta (Triple-Shrine) Plans: Three sanctums sharing a central common pillared mandapa, dedicated to Shiva, Vishnu, and Surya.</w:t>
        <w:br/>
        <w:t>• Masonry Fortification: The entire hill was enclosed in the 14th century by a massive stone defensive wall with ornate arched entrance gateways (toranas).</w:t>
      </w:r>
    </w:p>
    <w:p>
      <w:pPr>
        <w:keepNext/>
        <w:spacing w:before="280" w:after="80"/>
      </w:pPr>
      <w:r>
        <w:rPr>
          <w:rFonts w:ascii="Georgia" w:hAnsi="Georgia"/>
          <w:b/>
          <w:color w:val="8C2D19"/>
          <w:sz w:val="30"/>
        </w:rPr>
        <w:t>2. The Colossal Monolithic Ganeshas</w:t>
      </w:r>
    </w:p>
    <w:tbl>
      <w:tblPr>
        <w:tblW w:type="auto" w:w="0"/>
        <w:jc w:val="center"/>
        <w:tblLook w:firstColumn="1" w:firstRow="1" w:lastColumn="0" w:lastRow="0" w:noHBand="0" w:noVBand="1" w:val="04A0"/>
      </w:tblPr>
      <w:tblGrid>
        <w:gridCol w:w="2484"/>
        <w:gridCol w:w="2484"/>
        <w:gridCol w:w="2484"/>
        <w:gridCol w:w="2484"/>
      </w:tblGrid>
      <w:tr>
        <w:tc>
          <w:tcPr>
            <w:tcW w:type="dxa" w:w="2304"/>
            <w:shd w:fill="78321E"/>
            <w:tcMar>
              <w:top w:w="100" w:type="dxa"/>
              <w:bottom w:w="100" w:type="dxa"/>
              <w:left w:w="120" w:type="dxa"/>
              <w:right w:w="120" w:type="dxa"/>
            </w:tcMar>
          </w:tcPr>
          <w:p>
            <w:pPr>
              <w:spacing w:after="0"/>
            </w:pPr>
            <w:r>
              <w:rPr>
                <w:b/>
                <w:color w:val="FFFFFF"/>
                <w:sz w:val="19"/>
              </w:rPr>
              <w:t>Colossus Name</w:t>
            </w:r>
          </w:p>
        </w:tc>
        <w:tc>
          <w:tcPr>
            <w:tcW w:type="dxa" w:w="1728"/>
            <w:shd w:fill="78321E"/>
            <w:tcMar>
              <w:top w:w="100" w:type="dxa"/>
              <w:bottom w:w="100" w:type="dxa"/>
              <w:left w:w="120" w:type="dxa"/>
              <w:right w:w="120" w:type="dxa"/>
            </w:tcMar>
          </w:tcPr>
          <w:p>
            <w:pPr>
              <w:spacing w:after="0"/>
            </w:pPr>
            <w:r>
              <w:rPr>
                <w:b/>
                <w:color w:val="FFFFFF"/>
                <w:sz w:val="19"/>
              </w:rPr>
              <w:t>Height</w:t>
            </w:r>
          </w:p>
        </w:tc>
        <w:tc>
          <w:tcPr>
            <w:tcW w:type="dxa" w:w="2592"/>
            <w:shd w:fill="78321E"/>
            <w:tcMar>
              <w:top w:w="100" w:type="dxa"/>
              <w:bottom w:w="100" w:type="dxa"/>
              <w:left w:w="120" w:type="dxa"/>
              <w:right w:w="120" w:type="dxa"/>
            </w:tcMar>
          </w:tcPr>
          <w:p>
            <w:pPr>
              <w:spacing w:after="0"/>
            </w:pPr>
            <w:r>
              <w:rPr>
                <w:b/>
                <w:color w:val="FFFFFF"/>
                <w:sz w:val="19"/>
              </w:rPr>
              <w:t>Sculptural Context</w:t>
            </w:r>
          </w:p>
        </w:tc>
        <w:tc>
          <w:tcPr>
            <w:tcW w:type="dxa" w:w="3456"/>
            <w:shd w:fill="78321E"/>
            <w:tcMar>
              <w:top w:w="100" w:type="dxa"/>
              <w:bottom w:w="100" w:type="dxa"/>
              <w:left w:w="120" w:type="dxa"/>
              <w:right w:w="120" w:type="dxa"/>
            </w:tcMar>
          </w:tcPr>
          <w:p>
            <w:pPr>
              <w:spacing w:after="0"/>
            </w:pPr>
            <w:r>
              <w:rPr>
                <w:b/>
                <w:color w:val="FFFFFF"/>
                <w:sz w:val="19"/>
              </w:rPr>
              <w:t>Iconographic Features &amp; Local Tradition</w:t>
            </w:r>
          </w:p>
        </w:tc>
      </w:tr>
      <w:tr>
        <w:tc>
          <w:tcPr>
            <w:tcW w:type="dxa" w:w="2304"/>
            <w:shd w:fill="FAF6F0"/>
            <w:tcMar>
              <w:top w:w="80" w:type="dxa"/>
              <w:bottom w:w="80" w:type="dxa"/>
              <w:left w:w="100" w:type="dxa"/>
              <w:right w:w="100" w:type="dxa"/>
            </w:tcMar>
          </w:tcPr>
          <w:p>
            <w:pPr>
              <w:spacing w:after="0"/>
            </w:pPr>
            <w:r>
              <w:rPr>
                <w:color w:val="2D2D2D"/>
                <w:sz w:val="18"/>
              </w:rPr>
              <w:t>Sasivekalu Ganesha</w:t>
            </w:r>
          </w:p>
        </w:tc>
        <w:tc>
          <w:tcPr>
            <w:tcW w:type="dxa" w:w="1728"/>
            <w:shd w:fill="FAF6F0"/>
            <w:tcMar>
              <w:top w:w="80" w:type="dxa"/>
              <w:bottom w:w="80" w:type="dxa"/>
              <w:left w:w="100" w:type="dxa"/>
              <w:right w:w="100" w:type="dxa"/>
            </w:tcMar>
          </w:tcPr>
          <w:p>
            <w:pPr>
              <w:spacing w:after="0"/>
            </w:pPr>
            <w:r>
              <w:rPr>
                <w:color w:val="2D2D2D"/>
                <w:sz w:val="18"/>
              </w:rPr>
              <w:t>2.4 meters (8 feet)</w:t>
            </w:r>
          </w:p>
        </w:tc>
        <w:tc>
          <w:tcPr>
            <w:tcW w:type="dxa" w:w="2592"/>
            <w:shd w:fill="FAF6F0"/>
            <w:tcMar>
              <w:top w:w="80" w:type="dxa"/>
              <w:bottom w:w="80" w:type="dxa"/>
              <w:left w:w="100" w:type="dxa"/>
              <w:right w:w="100" w:type="dxa"/>
            </w:tcMar>
          </w:tcPr>
          <w:p>
            <w:pPr>
              <w:spacing w:after="0"/>
            </w:pPr>
            <w:r>
              <w:rPr>
                <w:color w:val="2D2D2D"/>
                <w:sz w:val="18"/>
              </w:rPr>
              <w:t>Open 4-pillared granite pavilion (1506 CE)</w:t>
            </w:r>
          </w:p>
        </w:tc>
        <w:tc>
          <w:tcPr>
            <w:tcW w:type="dxa" w:w="3456"/>
            <w:shd w:fill="FAF6F0"/>
            <w:tcMar>
              <w:top w:w="80" w:type="dxa"/>
              <w:bottom w:w="80" w:type="dxa"/>
              <w:left w:w="100" w:type="dxa"/>
              <w:right w:w="100" w:type="dxa"/>
            </w:tcMar>
          </w:tcPr>
          <w:p>
            <w:pPr>
              <w:spacing w:after="0"/>
            </w:pPr>
            <w:r>
              <w:rPr>
                <w:color w:val="2D2D2D"/>
                <w:sz w:val="18"/>
              </w:rPr>
              <w:t>Carved from a single boulder; depicts Ganesha with a snake tied around his belly (folklore: to prevent overeating); inscription records erection by a merchant of Chandragiri.</w:t>
            </w:r>
          </w:p>
        </w:tc>
      </w:tr>
      <w:tr>
        <w:tc>
          <w:tcPr>
            <w:tcW w:type="dxa" w:w="2304"/>
            <w:shd w:fill="FFFFFF"/>
            <w:tcMar>
              <w:top w:w="80" w:type="dxa"/>
              <w:bottom w:w="80" w:type="dxa"/>
              <w:left w:w="100" w:type="dxa"/>
              <w:right w:w="100" w:type="dxa"/>
            </w:tcMar>
          </w:tcPr>
          <w:p>
            <w:pPr>
              <w:spacing w:after="0"/>
            </w:pPr>
            <w:r>
              <w:rPr>
                <w:color w:val="2D2D2D"/>
                <w:sz w:val="18"/>
              </w:rPr>
              <w:t>Kadalekalu Ganesha</w:t>
            </w:r>
          </w:p>
        </w:tc>
        <w:tc>
          <w:tcPr>
            <w:tcW w:type="dxa" w:w="1728"/>
            <w:shd w:fill="FFFFFF"/>
            <w:tcMar>
              <w:top w:w="80" w:type="dxa"/>
              <w:bottom w:w="80" w:type="dxa"/>
              <w:left w:w="100" w:type="dxa"/>
              <w:right w:w="100" w:type="dxa"/>
            </w:tcMar>
          </w:tcPr>
          <w:p>
            <w:pPr>
              <w:spacing w:after="0"/>
            </w:pPr>
            <w:r>
              <w:rPr>
                <w:color w:val="2D2D2D"/>
                <w:sz w:val="18"/>
              </w:rPr>
              <w:t>4.6 meters (15 feet)</w:t>
            </w:r>
          </w:p>
        </w:tc>
        <w:tc>
          <w:tcPr>
            <w:tcW w:type="dxa" w:w="2592"/>
            <w:shd w:fill="FFFFFF"/>
            <w:tcMar>
              <w:top w:w="80" w:type="dxa"/>
              <w:bottom w:w="80" w:type="dxa"/>
              <w:left w:w="100" w:type="dxa"/>
              <w:right w:w="100" w:type="dxa"/>
            </w:tcMar>
          </w:tcPr>
          <w:p>
            <w:pPr>
              <w:spacing w:after="0"/>
            </w:pPr>
            <w:r>
              <w:rPr>
                <w:color w:val="2D2D2D"/>
                <w:sz w:val="18"/>
              </w:rPr>
              <w:t>Grand hypostyle hall with slender classical pillars</w:t>
            </w:r>
          </w:p>
        </w:tc>
        <w:tc>
          <w:tcPr>
            <w:tcW w:type="dxa" w:w="3456"/>
            <w:shd w:fill="FFFFFF"/>
            <w:tcMar>
              <w:top w:w="80" w:type="dxa"/>
              <w:bottom w:w="80" w:type="dxa"/>
              <w:left w:w="100" w:type="dxa"/>
              <w:right w:w="100" w:type="dxa"/>
            </w:tcMar>
          </w:tcPr>
          <w:p>
            <w:pPr>
              <w:spacing w:after="0"/>
            </w:pPr>
            <w:r>
              <w:rPr>
                <w:color w:val="2D2D2D"/>
                <w:sz w:val="18"/>
              </w:rPr>
              <w:t>One of the largest Ganesha statues in India; belly resembles a Bengal gram / chickpea (Kadale); sanctum overlooks the Virupaksha valley.</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HAM-DOC-12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