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Georgia" w:hAnsi="Georgia"/>
          <w:b/>
          <w:color w:val="8C2D19"/>
          <w:sz w:val="44"/>
        </w:rPr>
        <w:t>19: BAZAARS, MARKETS &amp; URBAN COMMERCIAL GEOGRAPHY</w:t>
      </w:r>
    </w:p>
    <w:p>
      <w:pPr>
        <w:spacing w:before="0" w:after="240"/>
      </w:pPr>
      <w:r>
        <w:rPr>
          <w:rFonts w:ascii="Georgia" w:hAnsi="Georgia"/>
          <w:i/>
          <w:color w:val="5A5046"/>
          <w:sz w:val="24"/>
        </w:rPr>
        <w:t>Colonnaded Market Streets, International Trade, Gem Markets, and Urban Planning</w:t>
      </w:r>
    </w:p>
    <w:tbl>
      <w:tblPr>
        <w:tblW w:type="auto" w:w="0"/>
        <w:jc w:val="center"/>
        <w:tblLook w:firstColumn="1" w:firstRow="1" w:lastColumn="0" w:lastRow="0" w:noHBand="0" w:noVBand="1" w:val="04A0"/>
      </w:tblPr>
      <w:tblGrid>
        <w:gridCol w:w="4968"/>
        <w:gridCol w:w="4968"/>
      </w:tblGrid>
      <w:tr>
        <w:tc>
          <w:tcPr>
            <w:tcW w:type="dxa" w:w="2592"/>
            <w:shd w:fill="F2ECE4"/>
            <w:tcMar>
              <w:top w:w="60" w:type="dxa"/>
              <w:bottom w:w="60" w:type="dxa"/>
              <w:left w:w="100" w:type="dxa"/>
              <w:right w:w="100" w:type="dxa"/>
            </w:tcMar>
          </w:tcPr>
          <w:p>
            <w:pPr>
              <w:spacing w:after="0"/>
            </w:pPr>
            <w:r>
              <w:rPr>
                <w:b/>
                <w:color w:val="502814"/>
                <w:sz w:val="19"/>
              </w:rPr>
              <w:t>Project:</w:t>
            </w:r>
          </w:p>
        </w:tc>
        <w:tc>
          <w:tcPr>
            <w:tcW w:type="dxa" w:w="7200"/>
            <w:shd w:fill="FAF7F2"/>
            <w:tcMar>
              <w:top w:w="60" w:type="dxa"/>
              <w:bottom w:w="60" w:type="dxa"/>
              <w:left w:w="100" w:type="dxa"/>
              <w:right w:w="100" w:type="dxa"/>
            </w:tcMar>
          </w:tcPr>
          <w:p>
            <w:pPr>
              <w:spacing w:after="0"/>
            </w:pPr>
            <w:r>
              <w:rPr>
                <w:color w:val="323232"/>
                <w:sz w:val="19"/>
              </w:rPr>
              <w:t>Antigravity Indian Cultural Heritage Knowledge Platform (Hampi, Karnataka)</w:t>
            </w:r>
          </w:p>
        </w:tc>
      </w:tr>
      <w:tr>
        <w:tc>
          <w:tcPr>
            <w:tcW w:type="dxa" w:w="2592"/>
            <w:shd w:fill="F2ECE4"/>
            <w:tcMar>
              <w:top w:w="60" w:type="dxa"/>
              <w:bottom w:w="60" w:type="dxa"/>
              <w:left w:w="100" w:type="dxa"/>
              <w:right w:w="100" w:type="dxa"/>
            </w:tcMar>
          </w:tcPr>
          <w:p>
            <w:pPr>
              <w:spacing w:after="0"/>
            </w:pPr>
            <w:r>
              <w:rPr>
                <w:b/>
                <w:color w:val="502814"/>
                <w:sz w:val="19"/>
              </w:rPr>
              <w:t>Research Team:</w:t>
            </w:r>
          </w:p>
        </w:tc>
        <w:tc>
          <w:tcPr>
            <w:tcW w:type="dxa" w:w="7200"/>
            <w:shd w:fill="FAF7F2"/>
            <w:tcMar>
              <w:top w:w="60" w:type="dxa"/>
              <w:bottom w:w="60" w:type="dxa"/>
              <w:left w:w="100" w:type="dxa"/>
              <w:right w:w="100" w:type="dxa"/>
            </w:tcMar>
          </w:tcPr>
          <w:p>
            <w:pPr>
              <w:spacing w:after="0"/>
            </w:pPr>
            <w:r>
              <w:rPr>
                <w:color w:val="323232"/>
                <w:sz w:val="19"/>
              </w:rPr>
              <w:t>Historians, Epigraphists, Archaeologists, Architectural Historians, Anthropologists, Digital Knowledge Architects</w:t>
            </w:r>
          </w:p>
        </w:tc>
      </w:tr>
      <w:tr>
        <w:tc>
          <w:tcPr>
            <w:tcW w:type="dxa" w:w="2592"/>
            <w:shd w:fill="F2ECE4"/>
            <w:tcMar>
              <w:top w:w="60" w:type="dxa"/>
              <w:bottom w:w="60" w:type="dxa"/>
              <w:left w:w="100" w:type="dxa"/>
              <w:right w:w="100" w:type="dxa"/>
            </w:tcMar>
          </w:tcPr>
          <w:p>
            <w:pPr>
              <w:spacing w:after="0"/>
            </w:pPr>
            <w:r>
              <w:rPr>
                <w:b/>
                <w:color w:val="502814"/>
                <w:sz w:val="19"/>
              </w:rPr>
              <w:t>Source Hierarchy:</w:t>
            </w:r>
          </w:p>
        </w:tc>
        <w:tc>
          <w:tcPr>
            <w:tcW w:type="dxa" w:w="7200"/>
            <w:shd w:fill="FAF7F2"/>
            <w:tcMar>
              <w:top w:w="60" w:type="dxa"/>
              <w:bottom w:w="60" w:type="dxa"/>
              <w:left w:w="100" w:type="dxa"/>
              <w:right w:w="100" w:type="dxa"/>
            </w:tcMar>
          </w:tcPr>
          <w:p>
            <w:pPr>
              <w:spacing w:after="0"/>
            </w:pPr>
            <w:r>
              <w:rPr>
                <w:color w:val="323232"/>
                <w:sz w:val="19"/>
              </w:rPr>
              <w:t>Tier 1 (UNESCO, ASI, State Epigraphy) &amp; Tier 2 (Academic Monographs &amp; Journals)</w:t>
            </w:r>
          </w:p>
        </w:tc>
      </w:tr>
      <w:tr>
        <w:tc>
          <w:tcPr>
            <w:tcW w:type="dxa" w:w="2592"/>
            <w:shd w:fill="F2ECE4"/>
            <w:tcMar>
              <w:top w:w="60" w:type="dxa"/>
              <w:bottom w:w="60" w:type="dxa"/>
              <w:left w:w="100" w:type="dxa"/>
              <w:right w:w="100" w:type="dxa"/>
            </w:tcMar>
          </w:tcPr>
          <w:p>
            <w:pPr>
              <w:spacing w:after="0"/>
            </w:pPr>
            <w:r>
              <w:rPr>
                <w:b/>
                <w:color w:val="502814"/>
                <w:sz w:val="19"/>
              </w:rPr>
              <w:t>Geographical Context:</w:t>
            </w:r>
          </w:p>
        </w:tc>
        <w:tc>
          <w:tcPr>
            <w:tcW w:type="dxa" w:w="7200"/>
            <w:shd w:fill="FAF7F2"/>
            <w:tcMar>
              <w:top w:w="60" w:type="dxa"/>
              <w:bottom w:w="60" w:type="dxa"/>
              <w:left w:w="100" w:type="dxa"/>
              <w:right w:w="100" w:type="dxa"/>
            </w:tcMar>
          </w:tcPr>
          <w:p>
            <w:pPr>
              <w:spacing w:after="0"/>
            </w:pPr>
            <w:r>
              <w:rPr>
                <w:color w:val="323232"/>
                <w:sz w:val="19"/>
              </w:rPr>
              <w:t>Hampi World Heritage Site, Vijayanagara Metropolitan Region, Bellary/Vijayanagara Dist, Karnataka</w:t>
            </w:r>
          </w:p>
        </w:tc>
      </w:tr>
    </w:tbl>
    <w:p>
      <w:pPr>
        <w:spacing w:after="160"/>
      </w:pPr>
    </w:p>
    <w:p>
      <w:pPr>
        <w:keepNext/>
        <w:spacing w:before="280" w:after="80"/>
      </w:pPr>
      <w:r>
        <w:rPr>
          <w:rFonts w:ascii="Georgia" w:hAnsi="Georgia"/>
          <w:b/>
          <w:color w:val="8C2D19"/>
          <w:sz w:val="30"/>
        </w:rPr>
        <w:t>1. The Grand Colonnaded Market Avenues (Vithis)</w:t>
      </w:r>
    </w:p>
    <w:p>
      <w:pPr>
        <w:spacing w:after="100" w:line="276" w:lineRule="auto"/>
      </w:pPr>
      <w:r>
        <w:t>Vijayanagara's urban layout was organized around monumental market streets (Bazaars) extending axially from the eastern gateways of major temple complexes. These streets were lined on both sides with continuous double-storeyed stone colonnades that housed merchant shops, residential quarters, and international trade guilds.</w:t>
      </w:r>
    </w:p>
    <w:p>
      <w:pPr>
        <w:keepNext/>
        <w:spacing w:before="200" w:after="60"/>
      </w:pPr>
      <w:r>
        <w:rPr>
          <w:rFonts w:ascii="Georgia" w:hAnsi="Georgia"/>
          <w:b/>
          <w:color w:val="3C3228"/>
          <w:sz w:val="25"/>
        </w:rPr>
        <w:t>Major Historical Bazaars of Hampi</w:t>
      </w:r>
    </w:p>
    <w:tbl>
      <w:tblPr>
        <w:tblW w:type="auto" w:w="0"/>
        <w:jc w:val="center"/>
        <w:tblLook w:firstColumn="1" w:firstRow="1" w:lastColumn="0" w:lastRow="0" w:noHBand="0" w:noVBand="1" w:val="04A0"/>
      </w:tblPr>
      <w:tblGrid>
        <w:gridCol w:w="2484"/>
        <w:gridCol w:w="2484"/>
        <w:gridCol w:w="2484"/>
        <w:gridCol w:w="2484"/>
      </w:tblGrid>
      <w:tr>
        <w:tc>
          <w:tcPr>
            <w:tcW w:type="dxa" w:w="2592"/>
            <w:shd w:fill="78321E"/>
            <w:tcMar>
              <w:top w:w="100" w:type="dxa"/>
              <w:bottom w:w="100" w:type="dxa"/>
              <w:left w:w="120" w:type="dxa"/>
              <w:right w:w="120" w:type="dxa"/>
            </w:tcMar>
          </w:tcPr>
          <w:p>
            <w:pPr>
              <w:spacing w:after="0"/>
            </w:pPr>
            <w:r>
              <w:rPr>
                <w:b/>
                <w:color w:val="FFFFFF"/>
                <w:sz w:val="19"/>
              </w:rPr>
              <w:t>Bazaar Name</w:t>
            </w:r>
          </w:p>
        </w:tc>
        <w:tc>
          <w:tcPr>
            <w:tcW w:type="dxa" w:w="2016"/>
            <w:shd w:fill="78321E"/>
            <w:tcMar>
              <w:top w:w="100" w:type="dxa"/>
              <w:bottom w:w="100" w:type="dxa"/>
              <w:left w:w="120" w:type="dxa"/>
              <w:right w:w="120" w:type="dxa"/>
            </w:tcMar>
          </w:tcPr>
          <w:p>
            <w:pPr>
              <w:spacing w:after="0"/>
            </w:pPr>
            <w:r>
              <w:rPr>
                <w:b/>
                <w:color w:val="FFFFFF"/>
                <w:sz w:val="19"/>
              </w:rPr>
              <w:t>Length &amp; Width</w:t>
            </w:r>
          </w:p>
        </w:tc>
        <w:tc>
          <w:tcPr>
            <w:tcW w:type="dxa" w:w="2304"/>
            <w:shd w:fill="78321E"/>
            <w:tcMar>
              <w:top w:w="100" w:type="dxa"/>
              <w:bottom w:w="100" w:type="dxa"/>
              <w:left w:w="120" w:type="dxa"/>
              <w:right w:w="120" w:type="dxa"/>
            </w:tcMar>
          </w:tcPr>
          <w:p>
            <w:pPr>
              <w:spacing w:after="0"/>
            </w:pPr>
            <w:r>
              <w:rPr>
                <w:b/>
                <w:color w:val="FFFFFF"/>
                <w:sz w:val="19"/>
              </w:rPr>
              <w:t>Associated Temple Complex</w:t>
            </w:r>
          </w:p>
        </w:tc>
        <w:tc>
          <w:tcPr>
            <w:tcW w:type="dxa" w:w="2880"/>
            <w:shd w:fill="78321E"/>
            <w:tcMar>
              <w:top w:w="100" w:type="dxa"/>
              <w:bottom w:w="100" w:type="dxa"/>
              <w:left w:w="120" w:type="dxa"/>
              <w:right w:w="120" w:type="dxa"/>
            </w:tcMar>
          </w:tcPr>
          <w:p>
            <w:pPr>
              <w:spacing w:after="0"/>
            </w:pPr>
            <w:r>
              <w:rPr>
                <w:b/>
                <w:color w:val="FFFFFF"/>
                <w:sz w:val="19"/>
              </w:rPr>
              <w:t>Historical Trade Specialties</w:t>
            </w:r>
          </w:p>
        </w:tc>
      </w:tr>
      <w:tr>
        <w:tc>
          <w:tcPr>
            <w:tcW w:type="dxa" w:w="2592"/>
            <w:shd w:fill="FAF6F0"/>
            <w:tcMar>
              <w:top w:w="80" w:type="dxa"/>
              <w:bottom w:w="80" w:type="dxa"/>
              <w:left w:w="100" w:type="dxa"/>
              <w:right w:w="100" w:type="dxa"/>
            </w:tcMar>
          </w:tcPr>
          <w:p>
            <w:pPr>
              <w:spacing w:after="0"/>
            </w:pPr>
            <w:r>
              <w:rPr>
                <w:color w:val="2D2D2D"/>
                <w:sz w:val="18"/>
              </w:rPr>
              <w:t>Hampi Bazaar (Virupaksha Vithi)</w:t>
            </w:r>
          </w:p>
        </w:tc>
        <w:tc>
          <w:tcPr>
            <w:tcW w:type="dxa" w:w="2016"/>
            <w:shd w:fill="FAF6F0"/>
            <w:tcMar>
              <w:top w:w="80" w:type="dxa"/>
              <w:bottom w:w="80" w:type="dxa"/>
              <w:left w:w="100" w:type="dxa"/>
              <w:right w:w="100" w:type="dxa"/>
            </w:tcMar>
          </w:tcPr>
          <w:p>
            <w:pPr>
              <w:spacing w:after="0"/>
            </w:pPr>
            <w:r>
              <w:rPr>
                <w:color w:val="2D2D2D"/>
                <w:sz w:val="18"/>
              </w:rPr>
              <w:t>1,060 m long; 35 m wide</w:t>
            </w:r>
          </w:p>
        </w:tc>
        <w:tc>
          <w:tcPr>
            <w:tcW w:type="dxa" w:w="2304"/>
            <w:shd w:fill="FAF6F0"/>
            <w:tcMar>
              <w:top w:w="80" w:type="dxa"/>
              <w:bottom w:w="80" w:type="dxa"/>
              <w:left w:w="100" w:type="dxa"/>
              <w:right w:w="100" w:type="dxa"/>
            </w:tcMar>
          </w:tcPr>
          <w:p>
            <w:pPr>
              <w:spacing w:after="0"/>
            </w:pPr>
            <w:r>
              <w:rPr>
                <w:color w:val="2D2D2D"/>
                <w:sz w:val="18"/>
              </w:rPr>
              <w:t>Virupaksha Temple</w:t>
            </w:r>
          </w:p>
        </w:tc>
        <w:tc>
          <w:tcPr>
            <w:tcW w:type="dxa" w:w="2880"/>
            <w:shd w:fill="FAF6F0"/>
            <w:tcMar>
              <w:top w:w="80" w:type="dxa"/>
              <w:bottom w:w="80" w:type="dxa"/>
              <w:left w:w="100" w:type="dxa"/>
              <w:right w:w="100" w:type="dxa"/>
            </w:tcMar>
          </w:tcPr>
          <w:p>
            <w:pPr>
              <w:spacing w:after="0"/>
            </w:pPr>
            <w:r>
              <w:rPr>
                <w:color w:val="2D2D2D"/>
                <w:sz w:val="18"/>
              </w:rPr>
              <w:t>Textiles, grains, brassware, ritual goods; annual chariot procession street; still active during fairs.</w:t>
            </w:r>
          </w:p>
        </w:tc>
      </w:tr>
      <w:tr>
        <w:tc>
          <w:tcPr>
            <w:tcW w:type="dxa" w:w="2592"/>
            <w:shd w:fill="FFFFFF"/>
            <w:tcMar>
              <w:top w:w="80" w:type="dxa"/>
              <w:bottom w:w="80" w:type="dxa"/>
              <w:left w:w="100" w:type="dxa"/>
              <w:right w:w="100" w:type="dxa"/>
            </w:tcMar>
          </w:tcPr>
          <w:p>
            <w:pPr>
              <w:spacing w:after="0"/>
            </w:pPr>
            <w:r>
              <w:rPr>
                <w:color w:val="2D2D2D"/>
                <w:sz w:val="18"/>
              </w:rPr>
              <w:t>Vittala Bazaar (Pan Supari Market)</w:t>
            </w:r>
          </w:p>
        </w:tc>
        <w:tc>
          <w:tcPr>
            <w:tcW w:type="dxa" w:w="2016"/>
            <w:shd w:fill="FFFFFF"/>
            <w:tcMar>
              <w:top w:w="80" w:type="dxa"/>
              <w:bottom w:w="80" w:type="dxa"/>
              <w:left w:w="100" w:type="dxa"/>
              <w:right w:w="100" w:type="dxa"/>
            </w:tcMar>
          </w:tcPr>
          <w:p>
            <w:pPr>
              <w:spacing w:after="0"/>
            </w:pPr>
            <w:r>
              <w:rPr>
                <w:color w:val="2D2D2D"/>
                <w:sz w:val="18"/>
              </w:rPr>
              <w:t>950 m long; 40 m wide</w:t>
            </w:r>
          </w:p>
        </w:tc>
        <w:tc>
          <w:tcPr>
            <w:tcW w:type="dxa" w:w="2304"/>
            <w:shd w:fill="FFFFFF"/>
            <w:tcMar>
              <w:top w:w="80" w:type="dxa"/>
              <w:bottom w:w="80" w:type="dxa"/>
              <w:left w:w="100" w:type="dxa"/>
              <w:right w:w="100" w:type="dxa"/>
            </w:tcMar>
          </w:tcPr>
          <w:p>
            <w:pPr>
              <w:spacing w:after="0"/>
            </w:pPr>
            <w:r>
              <w:rPr>
                <w:color w:val="2D2D2D"/>
                <w:sz w:val="18"/>
              </w:rPr>
              <w:t>Vittala Temple</w:t>
            </w:r>
          </w:p>
        </w:tc>
        <w:tc>
          <w:tcPr>
            <w:tcW w:type="dxa" w:w="2880"/>
            <w:shd w:fill="FFFFFF"/>
            <w:tcMar>
              <w:top w:w="80" w:type="dxa"/>
              <w:bottom w:w="80" w:type="dxa"/>
              <w:left w:w="100" w:type="dxa"/>
              <w:right w:w="100" w:type="dxa"/>
            </w:tcMar>
          </w:tcPr>
          <w:p>
            <w:pPr>
              <w:spacing w:after="0"/>
            </w:pPr>
            <w:r>
              <w:rPr>
                <w:color w:val="2D2D2D"/>
                <w:sz w:val="18"/>
              </w:rPr>
              <w:t>Luxury commodities, precious gems, diamonds, pearls, silks, betel leaves, areca nuts.</w:t>
            </w:r>
          </w:p>
        </w:tc>
      </w:tr>
      <w:tr>
        <w:tc>
          <w:tcPr>
            <w:tcW w:type="dxa" w:w="2592"/>
            <w:shd w:fill="FAF6F0"/>
            <w:tcMar>
              <w:top w:w="80" w:type="dxa"/>
              <w:bottom w:w="80" w:type="dxa"/>
              <w:left w:w="100" w:type="dxa"/>
              <w:right w:w="100" w:type="dxa"/>
            </w:tcMar>
          </w:tcPr>
          <w:p>
            <w:pPr>
              <w:spacing w:after="0"/>
            </w:pPr>
            <w:r>
              <w:rPr>
                <w:color w:val="2D2D2D"/>
                <w:sz w:val="18"/>
              </w:rPr>
              <w:t>Achyutapete (Courtesans' Street)</w:t>
            </w:r>
          </w:p>
        </w:tc>
        <w:tc>
          <w:tcPr>
            <w:tcW w:type="dxa" w:w="2016"/>
            <w:shd w:fill="FAF6F0"/>
            <w:tcMar>
              <w:top w:w="80" w:type="dxa"/>
              <w:bottom w:w="80" w:type="dxa"/>
              <w:left w:w="100" w:type="dxa"/>
              <w:right w:w="100" w:type="dxa"/>
            </w:tcMar>
          </w:tcPr>
          <w:p>
            <w:pPr>
              <w:spacing w:after="0"/>
            </w:pPr>
            <w:r>
              <w:rPr>
                <w:color w:val="2D2D2D"/>
                <w:sz w:val="18"/>
              </w:rPr>
              <w:t>500 m long; 40 m wide</w:t>
            </w:r>
          </w:p>
        </w:tc>
        <w:tc>
          <w:tcPr>
            <w:tcW w:type="dxa" w:w="2304"/>
            <w:shd w:fill="FAF6F0"/>
            <w:tcMar>
              <w:top w:w="80" w:type="dxa"/>
              <w:bottom w:w="80" w:type="dxa"/>
              <w:left w:w="100" w:type="dxa"/>
              <w:right w:w="100" w:type="dxa"/>
            </w:tcMar>
          </w:tcPr>
          <w:p>
            <w:pPr>
              <w:spacing w:after="0"/>
            </w:pPr>
            <w:r>
              <w:rPr>
                <w:color w:val="2D2D2D"/>
                <w:sz w:val="18"/>
              </w:rPr>
              <w:t>Achyutaraya Temple</w:t>
            </w:r>
          </w:p>
        </w:tc>
        <w:tc>
          <w:tcPr>
            <w:tcW w:type="dxa" w:w="2880"/>
            <w:shd w:fill="FAF6F0"/>
            <w:tcMar>
              <w:top w:w="80" w:type="dxa"/>
              <w:bottom w:w="80" w:type="dxa"/>
              <w:left w:w="100" w:type="dxa"/>
              <w:right w:w="100" w:type="dxa"/>
            </w:tcMar>
          </w:tcPr>
          <w:p>
            <w:pPr>
              <w:spacing w:after="0"/>
            </w:pPr>
            <w:r>
              <w:rPr>
                <w:color w:val="2D2D2D"/>
                <w:sz w:val="18"/>
              </w:rPr>
              <w:t>Jewelry, sandalwood, spices, fine muslins, perfumes, music and dance academies.</w:t>
            </w:r>
          </w:p>
        </w:tc>
      </w:tr>
      <w:tr>
        <w:tc>
          <w:tcPr>
            <w:tcW w:type="dxa" w:w="2592"/>
            <w:shd w:fill="FFFFFF"/>
            <w:tcMar>
              <w:top w:w="80" w:type="dxa"/>
              <w:bottom w:w="80" w:type="dxa"/>
              <w:left w:w="100" w:type="dxa"/>
              <w:right w:w="100" w:type="dxa"/>
            </w:tcMar>
          </w:tcPr>
          <w:p>
            <w:pPr>
              <w:spacing w:after="0"/>
            </w:pPr>
            <w:r>
              <w:rPr>
                <w:color w:val="2D2D2D"/>
                <w:sz w:val="18"/>
              </w:rPr>
              <w:t>Krishna Bazaar</w:t>
            </w:r>
          </w:p>
        </w:tc>
        <w:tc>
          <w:tcPr>
            <w:tcW w:type="dxa" w:w="2016"/>
            <w:shd w:fill="FFFFFF"/>
            <w:tcMar>
              <w:top w:w="80" w:type="dxa"/>
              <w:bottom w:w="80" w:type="dxa"/>
              <w:left w:w="100" w:type="dxa"/>
              <w:right w:w="100" w:type="dxa"/>
            </w:tcMar>
          </w:tcPr>
          <w:p>
            <w:pPr>
              <w:spacing w:after="0"/>
            </w:pPr>
            <w:r>
              <w:rPr>
                <w:color w:val="2D2D2D"/>
                <w:sz w:val="18"/>
              </w:rPr>
              <w:t>500 m long; 30 m wide</w:t>
            </w:r>
          </w:p>
        </w:tc>
        <w:tc>
          <w:tcPr>
            <w:tcW w:type="dxa" w:w="2304"/>
            <w:shd w:fill="FFFFFF"/>
            <w:tcMar>
              <w:top w:w="80" w:type="dxa"/>
              <w:bottom w:w="80" w:type="dxa"/>
              <w:left w:w="100" w:type="dxa"/>
              <w:right w:w="100" w:type="dxa"/>
            </w:tcMar>
          </w:tcPr>
          <w:p>
            <w:pPr>
              <w:spacing w:after="0"/>
            </w:pPr>
            <w:r>
              <w:rPr>
                <w:color w:val="2D2D2D"/>
                <w:sz w:val="18"/>
              </w:rPr>
              <w:t>Krishna Temple</w:t>
            </w:r>
          </w:p>
        </w:tc>
        <w:tc>
          <w:tcPr>
            <w:tcW w:type="dxa" w:w="2880"/>
            <w:shd w:fill="FFFFFF"/>
            <w:tcMar>
              <w:top w:w="80" w:type="dxa"/>
              <w:bottom w:w="80" w:type="dxa"/>
              <w:left w:w="100" w:type="dxa"/>
              <w:right w:w="100" w:type="dxa"/>
            </w:tcMar>
          </w:tcPr>
          <w:p>
            <w:pPr>
              <w:spacing w:after="0"/>
            </w:pPr>
            <w:r>
              <w:rPr>
                <w:color w:val="2D2D2D"/>
                <w:sz w:val="18"/>
              </w:rPr>
              <w:t>Precious stones, daily groceries, grains; massive stepped pushkarani on its eastern edge.</w:t>
            </w:r>
          </w:p>
        </w:tc>
      </w:tr>
    </w:tbl>
    <w:p>
      <w:pPr>
        <w:spacing w:after="120"/>
      </w:pPr>
    </w:p>
    <w:p>
      <w:pPr>
        <w:keepNext/>
        <w:spacing w:before="280" w:after="80"/>
      </w:pPr>
      <w:r>
        <w:rPr>
          <w:rFonts w:ascii="Georgia" w:hAnsi="Georgia"/>
          <w:b/>
          <w:color w:val="8C2D19"/>
          <w:sz w:val="30"/>
        </w:rPr>
        <w:t>2. Eyewitness Accounts of Global Commerce</w:t>
      </w:r>
    </w:p>
    <w:p>
      <w:pPr>
        <w:spacing w:after="100" w:line="276" w:lineRule="auto"/>
      </w:pPr>
      <w:r>
        <w:t>• Domingo Paes (1520 CE): 'In this city you will find every kind of commodity on earth... precious stones such as diamonds, rubies, and emeralds are sold in open baskets by the bushel as if they were ordinary grain.'</w:t>
        <w:br/>
        <w:t>• Fernao Nuniz (1535 CE): 'The markets are filled with merchants from Persia, Arabia, Ormuz, Portugal, and China buying calicos, pepper, indigo, and precious stones, and selling pure-blooded warhorses.'</w:t>
        <w:br/>
        <w:t>• Abd al-Razzaq (1443 CE): 'The jewelers sell openly in the bazaar pearls, rubies, emeralds, and diamonds. The city is such that the eye has not seen, nor the ear heard of any place to equal it in all the world.'</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8C8278"/>
        <w:sz w:val="16"/>
      </w:rPr>
      <w:t>Confidential &amp; Academic Heritage Documentation — Document Ref: HAM-DOC-19 — Vijayanagara Heritage Archive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786E64"/>
        <w:sz w:val="17"/>
      </w:rPr>
      <w:t>HAMPI CULTURAL HERITAGE ENCYCLOPEDIA | DIGITAL RESEARCH REPOSITORY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