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8C2D19"/>
          <w:sz w:val="44"/>
        </w:rPr>
        <w:t>20: HAMPI ARCHITECTURE — SYNTHESIS OF IMPERIAL STYLES</w:t>
      </w:r>
    </w:p>
    <w:p>
      <w:pPr>
        <w:spacing w:before="0" w:after="240"/>
      </w:pPr>
      <w:r>
        <w:rPr>
          <w:rFonts w:ascii="Georgia" w:hAnsi="Georgia"/>
          <w:i/>
          <w:color w:val="5A5046"/>
          <w:sz w:val="24"/>
        </w:rPr>
        <w:t>Granite Stereotomy, Composite Piers, Pushpadodika Corbels, Gopurams and Indo-Islamic Synthesis</w:t>
      </w:r>
    </w:p>
    <w:tbl>
      <w:tblPr>
        <w:tblW w:type="auto" w:w="0"/>
        <w:jc w:val="center"/>
        <w:tblLook w:firstColumn="1" w:firstRow="1" w:lastColumn="0" w:lastRow="0" w:noHBand="0" w:noVBand="1" w:val="04A0"/>
      </w:tblPr>
      <w:tblGrid>
        <w:gridCol w:w="4968"/>
        <w:gridCol w:w="4968"/>
      </w:tblGrid>
      <w:tr>
        <w:tc>
          <w:tcPr>
            <w:tcW w:type="dxa" w:w="2592"/>
            <w:shd w:fill="F2ECE4"/>
            <w:tcMar>
              <w:top w:w="60" w:type="dxa"/>
              <w:bottom w:w="60" w:type="dxa"/>
              <w:left w:w="100" w:type="dxa"/>
              <w:right w:w="100" w:type="dxa"/>
            </w:tcMar>
          </w:tcPr>
          <w:p>
            <w:pPr>
              <w:spacing w:after="0"/>
            </w:pPr>
            <w:r>
              <w:rPr>
                <w:b/>
                <w:color w:val="502814"/>
                <w:sz w:val="19"/>
              </w:rPr>
              <w:t>Project:</w:t>
            </w:r>
          </w:p>
        </w:tc>
        <w:tc>
          <w:tcPr>
            <w:tcW w:type="dxa" w:w="7200"/>
            <w:shd w:fill="FAF7F2"/>
            <w:tcMar>
              <w:top w:w="60" w:type="dxa"/>
              <w:bottom w:w="60" w:type="dxa"/>
              <w:left w:w="100" w:type="dxa"/>
              <w:right w:w="100" w:type="dxa"/>
            </w:tcMar>
          </w:tcPr>
          <w:p>
            <w:pPr>
              <w:spacing w:after="0"/>
            </w:pPr>
            <w:r>
              <w:rPr>
                <w:color w:val="323232"/>
                <w:sz w:val="19"/>
              </w:rPr>
              <w:t>Antigravity Indian Cultural Heritage Knowledge Platform (Hampi, Karnataka)</w:t>
            </w:r>
          </w:p>
        </w:tc>
      </w:tr>
      <w:tr>
        <w:tc>
          <w:tcPr>
            <w:tcW w:type="dxa" w:w="2592"/>
            <w:shd w:fill="F2ECE4"/>
            <w:tcMar>
              <w:top w:w="60" w:type="dxa"/>
              <w:bottom w:w="60" w:type="dxa"/>
              <w:left w:w="100" w:type="dxa"/>
              <w:right w:w="100" w:type="dxa"/>
            </w:tcMar>
          </w:tcPr>
          <w:p>
            <w:pPr>
              <w:spacing w:after="0"/>
            </w:pPr>
            <w:r>
              <w:rPr>
                <w:b/>
                <w:color w:val="502814"/>
                <w:sz w:val="19"/>
              </w:rPr>
              <w:t>Research Team:</w:t>
            </w:r>
          </w:p>
        </w:tc>
        <w:tc>
          <w:tcPr>
            <w:tcW w:type="dxa" w:w="7200"/>
            <w:shd w:fill="FAF7F2"/>
            <w:tcMar>
              <w:top w:w="60" w:type="dxa"/>
              <w:bottom w:w="60" w:type="dxa"/>
              <w:left w:w="100" w:type="dxa"/>
              <w:right w:w="100" w:type="dxa"/>
            </w:tcMar>
          </w:tcPr>
          <w:p>
            <w:pPr>
              <w:spacing w:after="0"/>
            </w:pPr>
            <w:r>
              <w:rPr>
                <w:color w:val="323232"/>
                <w:sz w:val="19"/>
              </w:rPr>
              <w:t>Historians, Epigraphists, Archaeologists, Architectural Historians, Anthropologists, Digital Knowledge Architects</w:t>
            </w:r>
          </w:p>
        </w:tc>
      </w:tr>
      <w:tr>
        <w:tc>
          <w:tcPr>
            <w:tcW w:type="dxa" w:w="2592"/>
            <w:shd w:fill="F2ECE4"/>
            <w:tcMar>
              <w:top w:w="60" w:type="dxa"/>
              <w:bottom w:w="60" w:type="dxa"/>
              <w:left w:w="100" w:type="dxa"/>
              <w:right w:w="100" w:type="dxa"/>
            </w:tcMar>
          </w:tcPr>
          <w:p>
            <w:pPr>
              <w:spacing w:after="0"/>
            </w:pPr>
            <w:r>
              <w:rPr>
                <w:b/>
                <w:color w:val="502814"/>
                <w:sz w:val="19"/>
              </w:rPr>
              <w:t>Source Hierarchy:</w:t>
            </w:r>
          </w:p>
        </w:tc>
        <w:tc>
          <w:tcPr>
            <w:tcW w:type="dxa" w:w="7200"/>
            <w:shd w:fill="FAF7F2"/>
            <w:tcMar>
              <w:top w:w="60" w:type="dxa"/>
              <w:bottom w:w="60" w:type="dxa"/>
              <w:left w:w="100" w:type="dxa"/>
              <w:right w:w="100" w:type="dxa"/>
            </w:tcMar>
          </w:tcPr>
          <w:p>
            <w:pPr>
              <w:spacing w:after="0"/>
            </w:pPr>
            <w:r>
              <w:rPr>
                <w:color w:val="323232"/>
                <w:sz w:val="19"/>
              </w:rPr>
              <w:t>Tier 1 (UNESCO, ASI, State Epigraphy) &amp; Tier 2 (Academic Monographs &amp; Journals)</w:t>
            </w:r>
          </w:p>
        </w:tc>
      </w:tr>
      <w:tr>
        <w:tc>
          <w:tcPr>
            <w:tcW w:type="dxa" w:w="2592"/>
            <w:shd w:fill="F2ECE4"/>
            <w:tcMar>
              <w:top w:w="60" w:type="dxa"/>
              <w:bottom w:w="60" w:type="dxa"/>
              <w:left w:w="100" w:type="dxa"/>
              <w:right w:w="100" w:type="dxa"/>
            </w:tcMar>
          </w:tcPr>
          <w:p>
            <w:pPr>
              <w:spacing w:after="0"/>
            </w:pPr>
            <w:r>
              <w:rPr>
                <w:b/>
                <w:color w:val="502814"/>
                <w:sz w:val="19"/>
              </w:rPr>
              <w:t>Geographical Context:</w:t>
            </w:r>
          </w:p>
        </w:tc>
        <w:tc>
          <w:tcPr>
            <w:tcW w:type="dxa" w:w="7200"/>
            <w:shd w:fill="FAF7F2"/>
            <w:tcMar>
              <w:top w:w="60" w:type="dxa"/>
              <w:bottom w:w="60" w:type="dxa"/>
              <w:left w:w="100" w:type="dxa"/>
              <w:right w:w="100" w:type="dxa"/>
            </w:tcMar>
          </w:tcPr>
          <w:p>
            <w:pPr>
              <w:spacing w:after="0"/>
            </w:pPr>
            <w:r>
              <w:rPr>
                <w:color w:val="323232"/>
                <w:sz w:val="19"/>
              </w:rPr>
              <w:t>Hampi World Heritage Site, Vijayanagara Metropolitan Region, Bellary/Vijayanagara Dist, Karnataka</w:t>
            </w:r>
          </w:p>
        </w:tc>
      </w:tr>
    </w:tbl>
    <w:p>
      <w:pPr>
        <w:spacing w:after="160"/>
      </w:pPr>
    </w:p>
    <w:p>
      <w:pPr>
        <w:keepNext/>
        <w:spacing w:before="280" w:after="80"/>
      </w:pPr>
      <w:r>
        <w:rPr>
          <w:rFonts w:ascii="Georgia" w:hAnsi="Georgia"/>
          <w:b/>
          <w:color w:val="8C2D19"/>
          <w:sz w:val="30"/>
        </w:rPr>
        <w:t>1. Evolution of the Vijayanagara Architectural Style</w:t>
      </w:r>
    </w:p>
    <w:p>
      <w:pPr>
        <w:spacing w:after="100" w:line="276" w:lineRule="auto"/>
      </w:pPr>
      <w:r>
        <w:t>Vijayanagara architecture represents the grand baroque culmination of South Indian Dravidian traditions, synthesizing the architectural lineages of the Cholas, Hoysalas, Chalukyas, and Kakatiyas into an imperial granite idiom characterized by vast scale, theatrical rhythm, and structural robustness.</w:t>
      </w:r>
    </w:p>
    <w:p>
      <w:pPr>
        <w:keepNext/>
        <w:spacing w:before="200" w:after="60"/>
      </w:pPr>
      <w:r>
        <w:rPr>
          <w:rFonts w:ascii="Georgia" w:hAnsi="Georgia"/>
          <w:b/>
          <w:color w:val="3C3228"/>
          <w:sz w:val="25"/>
        </w:rPr>
        <w:t>Hallmark Architectural Elements</w:t>
      </w:r>
    </w:p>
    <w:p>
      <w:pPr>
        <w:spacing w:after="100" w:line="276" w:lineRule="auto"/>
      </w:pPr>
      <w:r>
        <w:t>• Granite Composite Pillars: Monolithic piers carved with central polygonal shafts surrounded by slender detached colonnettes, rearing Yalis, mythical leonine beasts, and armed horse riders.</w:t>
        <w:br/>
        <w:t>• Pushpadodika Corbel Brackets: Capital corbels featuring an inverted pendentive lotus-bud bracket (Pushpapotika), a defining stylistic diagnostic of 15th–16th century Vijayanagara construction.</w:t>
        <w:br/>
        <w:t>• Brick-and-Stucco Superstructures: Towering Gopurams and vimanas constructed of light terracotta brick and lime stucco over a solid granite basement, allowing soaring multi-tiered elevations without excessive foundational load.</w:t>
        <w:br/>
        <w:t>• Indo-Islamic Secular Idiom: Secular court pavilions (Lotus Mahal, Elephant Stables, Queen's Bath) employed pointed arches, squinches, stucco foliation, and ribbed domical vaults adapted from the contemporary Deccan Sultanates.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8C8278"/>
        <w:sz w:val="16"/>
      </w:rPr>
      <w:t>Confidential &amp; Academic Heritage Documentation — Document Ref: HAM-DOC-20 — Vijayanagara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86E64"/>
        <w:sz w:val="17"/>
      </w:rPr>
      <w:t>HAMPI CULTURAL HERITAGE ENCYCLOPEDIA | DIGITAL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