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Georgia" w:hAnsi="Georgia"/>
          <w:b/>
          <w:color w:val="8C2D19"/>
          <w:sz w:val="44"/>
        </w:rPr>
        <w:t>23: RELIGION &amp; SACRED TRADITIONS</w:t>
      </w:r>
    </w:p>
    <w:p>
      <w:pPr>
        <w:spacing w:before="0" w:after="240"/>
      </w:pPr>
      <w:r>
        <w:rPr>
          <w:rFonts w:ascii="Georgia" w:hAnsi="Georgia"/>
          <w:i/>
          <w:color w:val="5A5046"/>
          <w:sz w:val="24"/>
        </w:rPr>
        <w:t>Agamic Rituals, Sthala Puranas, Monastic Mathas, Ascetic Orders, and Syncretic Traditions</w:t>
      </w:r>
    </w:p>
    <w:tbl>
      <w:tblPr>
        <w:tblW w:type="auto" w:w="0"/>
        <w:jc w:val="center"/>
        <w:tblLook w:firstColumn="1" w:firstRow="1" w:lastColumn="0" w:lastRow="0" w:noHBand="0" w:noVBand="1" w:val="04A0"/>
      </w:tblPr>
      <w:tblGrid>
        <w:gridCol w:w="4968"/>
        <w:gridCol w:w="4968"/>
      </w:tblGrid>
      <w:tr>
        <w:tc>
          <w:tcPr>
            <w:tcW w:type="dxa" w:w="2592"/>
            <w:shd w:fill="F2ECE4"/>
            <w:tcMar>
              <w:top w:w="60" w:type="dxa"/>
              <w:bottom w:w="60" w:type="dxa"/>
              <w:left w:w="100" w:type="dxa"/>
              <w:right w:w="100" w:type="dxa"/>
            </w:tcMar>
          </w:tcPr>
          <w:p>
            <w:pPr>
              <w:spacing w:after="0"/>
            </w:pPr>
            <w:r>
              <w:rPr>
                <w:b/>
                <w:color w:val="502814"/>
                <w:sz w:val="19"/>
              </w:rPr>
              <w:t>Project:</w:t>
            </w:r>
          </w:p>
        </w:tc>
        <w:tc>
          <w:tcPr>
            <w:tcW w:type="dxa" w:w="7200"/>
            <w:shd w:fill="FAF7F2"/>
            <w:tcMar>
              <w:top w:w="60" w:type="dxa"/>
              <w:bottom w:w="60" w:type="dxa"/>
              <w:left w:w="100" w:type="dxa"/>
              <w:right w:w="100" w:type="dxa"/>
            </w:tcMar>
          </w:tcPr>
          <w:p>
            <w:pPr>
              <w:spacing w:after="0"/>
            </w:pPr>
            <w:r>
              <w:rPr>
                <w:color w:val="323232"/>
                <w:sz w:val="19"/>
              </w:rPr>
              <w:t>Antigravity Indian Cultural Heritage Knowledge Platform (Hampi, Karnataka)</w:t>
            </w:r>
          </w:p>
        </w:tc>
      </w:tr>
      <w:tr>
        <w:tc>
          <w:tcPr>
            <w:tcW w:type="dxa" w:w="2592"/>
            <w:shd w:fill="F2ECE4"/>
            <w:tcMar>
              <w:top w:w="60" w:type="dxa"/>
              <w:bottom w:w="60" w:type="dxa"/>
              <w:left w:w="100" w:type="dxa"/>
              <w:right w:w="100" w:type="dxa"/>
            </w:tcMar>
          </w:tcPr>
          <w:p>
            <w:pPr>
              <w:spacing w:after="0"/>
            </w:pPr>
            <w:r>
              <w:rPr>
                <w:b/>
                <w:color w:val="502814"/>
                <w:sz w:val="19"/>
              </w:rPr>
              <w:t>Research Team:</w:t>
            </w:r>
          </w:p>
        </w:tc>
        <w:tc>
          <w:tcPr>
            <w:tcW w:type="dxa" w:w="7200"/>
            <w:shd w:fill="FAF7F2"/>
            <w:tcMar>
              <w:top w:w="60" w:type="dxa"/>
              <w:bottom w:w="60" w:type="dxa"/>
              <w:left w:w="100" w:type="dxa"/>
              <w:right w:w="100" w:type="dxa"/>
            </w:tcMar>
          </w:tcPr>
          <w:p>
            <w:pPr>
              <w:spacing w:after="0"/>
            </w:pPr>
            <w:r>
              <w:rPr>
                <w:color w:val="323232"/>
                <w:sz w:val="19"/>
              </w:rPr>
              <w:t>Historians, Epigraphists, Archaeologists, Architectural Historians, Anthropologists, Digital Knowledge Architects</w:t>
            </w:r>
          </w:p>
        </w:tc>
      </w:tr>
      <w:tr>
        <w:tc>
          <w:tcPr>
            <w:tcW w:type="dxa" w:w="2592"/>
            <w:shd w:fill="F2ECE4"/>
            <w:tcMar>
              <w:top w:w="60" w:type="dxa"/>
              <w:bottom w:w="60" w:type="dxa"/>
              <w:left w:w="100" w:type="dxa"/>
              <w:right w:w="100" w:type="dxa"/>
            </w:tcMar>
          </w:tcPr>
          <w:p>
            <w:pPr>
              <w:spacing w:after="0"/>
            </w:pPr>
            <w:r>
              <w:rPr>
                <w:b/>
                <w:color w:val="502814"/>
                <w:sz w:val="19"/>
              </w:rPr>
              <w:t>Source Hierarchy:</w:t>
            </w:r>
          </w:p>
        </w:tc>
        <w:tc>
          <w:tcPr>
            <w:tcW w:type="dxa" w:w="7200"/>
            <w:shd w:fill="FAF7F2"/>
            <w:tcMar>
              <w:top w:w="60" w:type="dxa"/>
              <w:bottom w:w="60" w:type="dxa"/>
              <w:left w:w="100" w:type="dxa"/>
              <w:right w:w="100" w:type="dxa"/>
            </w:tcMar>
          </w:tcPr>
          <w:p>
            <w:pPr>
              <w:spacing w:after="0"/>
            </w:pPr>
            <w:r>
              <w:rPr>
                <w:color w:val="323232"/>
                <w:sz w:val="19"/>
              </w:rPr>
              <w:t>Tier 1 (UNESCO, ASI, State Epigraphy) &amp; Tier 2 (Academic Monographs &amp; Journals)</w:t>
            </w:r>
          </w:p>
        </w:tc>
      </w:tr>
      <w:tr>
        <w:tc>
          <w:tcPr>
            <w:tcW w:type="dxa" w:w="2592"/>
            <w:shd w:fill="F2ECE4"/>
            <w:tcMar>
              <w:top w:w="60" w:type="dxa"/>
              <w:bottom w:w="60" w:type="dxa"/>
              <w:left w:w="100" w:type="dxa"/>
              <w:right w:w="100" w:type="dxa"/>
            </w:tcMar>
          </w:tcPr>
          <w:p>
            <w:pPr>
              <w:spacing w:after="0"/>
            </w:pPr>
            <w:r>
              <w:rPr>
                <w:b/>
                <w:color w:val="502814"/>
                <w:sz w:val="19"/>
              </w:rPr>
              <w:t>Geographical Context:</w:t>
            </w:r>
          </w:p>
        </w:tc>
        <w:tc>
          <w:tcPr>
            <w:tcW w:type="dxa" w:w="7200"/>
            <w:shd w:fill="FAF7F2"/>
            <w:tcMar>
              <w:top w:w="60" w:type="dxa"/>
              <w:bottom w:w="60" w:type="dxa"/>
              <w:left w:w="100" w:type="dxa"/>
              <w:right w:w="100" w:type="dxa"/>
            </w:tcMar>
          </w:tcPr>
          <w:p>
            <w:pPr>
              <w:spacing w:after="0"/>
            </w:pPr>
            <w:r>
              <w:rPr>
                <w:color w:val="323232"/>
                <w:sz w:val="19"/>
              </w:rPr>
              <w:t>Hampi World Heritage Site, Vijayanagara Metropolitan Region, Bellary/Vijayanagara Dist, Karnataka</w:t>
            </w:r>
          </w:p>
        </w:tc>
      </w:tr>
    </w:tbl>
    <w:p>
      <w:pPr>
        <w:spacing w:after="160"/>
      </w:pPr>
    </w:p>
    <w:p>
      <w:pPr>
        <w:keepNext/>
        <w:spacing w:before="280" w:after="80"/>
      </w:pPr>
      <w:r>
        <w:rPr>
          <w:rFonts w:ascii="Georgia" w:hAnsi="Georgia"/>
          <w:b/>
          <w:color w:val="8C2D19"/>
          <w:sz w:val="30"/>
        </w:rPr>
        <w:t>1. Sthala Puranas &amp; Sacred Geography</w:t>
      </w:r>
    </w:p>
    <w:p>
      <w:pPr>
        <w:spacing w:after="100" w:line="276" w:lineRule="auto"/>
      </w:pPr>
      <w:r>
        <w:t>Hampi's religious identity is anchored in ancient Sanskrit and Kannada texts, notably the Pampa Mahatmya of the Skanda Purana (Hemakuta Khanda), which details the spiritual merit of bathing in the Tungabhadra and worshipping Virupaksha.</w:t>
      </w:r>
    </w:p>
    <w:p>
      <w:pPr>
        <w:keepNext/>
        <w:spacing w:before="200" w:after="60"/>
      </w:pPr>
      <w:r>
        <w:rPr>
          <w:rFonts w:ascii="Georgia" w:hAnsi="Georgia"/>
          <w:b/>
          <w:color w:val="3C3228"/>
          <w:sz w:val="25"/>
        </w:rPr>
        <w:t>Monastic Mathas &amp; Philosophical Schools</w:t>
      </w:r>
    </w:p>
    <w:p>
      <w:pPr>
        <w:spacing w:after="100" w:line="276" w:lineRule="auto"/>
      </w:pPr>
      <w:r>
        <w:t>• Advaita Vedanta: Patronized through the Sringeri Sharada Peetham, with Sage Vidyaranya playing a pivotal role in early Sangama administration.</w:t>
        <w:br/>
        <w:t>• Dvaita Vedanta: Patronized through the Vyasaraja Matha, Uttaradi Matha, and Raghavendra Matha networks; Vyasatirtha held supreme influence in the Tuluva court.</w:t>
        <w:br/>
        <w:t>• Vishishtadvaita Vedanta: Supported through royal gifts to the Ahobila Matha and Sri Vaishnava acharyas of Srirangam and Kanchipuram.</w:t>
        <w:br/>
        <w:t>• Kalamukha &amp; Virashaiva (Lingayat) Orders: Active monastic establishments near Hemakuta and Kamalapuram maintaining community welfare, education, and free feeding houses (chhatras).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8C8278"/>
        <w:sz w:val="16"/>
      </w:rPr>
      <w:t>Confidential &amp; Academic Heritage Documentation — Document Ref: HAM-DOC-23 — Vijayanagara Heritage Archive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786E64"/>
        <w:sz w:val="17"/>
      </w:rPr>
      <w:t>HAMPI CULTURAL HERITAGE ENCYCLOPEDIA | DIGITAL RESEARCH REPOSITORY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