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24: VAISHNAVISM &amp; SHAIVISM IN VIJAYANAGARA</w:t>
      </w:r>
    </w:p>
    <w:p>
      <w:pPr>
        <w:spacing w:before="0" w:after="240"/>
      </w:pPr>
      <w:r>
        <w:rPr>
          <w:rFonts w:ascii="Georgia" w:hAnsi="Georgia"/>
          <w:i/>
          <w:color w:val="5A5046"/>
          <w:sz w:val="24"/>
        </w:rPr>
        <w:t>Imperial Syncretism, Dynastic Transitions, the 1368 Edict of Tolerance &amp; Temple Networks</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The Dynamic Interplay of Shaivism and Vaishnavism</w:t>
      </w:r>
    </w:p>
    <w:p>
      <w:pPr>
        <w:spacing w:after="100" w:line="276" w:lineRule="auto"/>
      </w:pPr>
      <w:r>
        <w:t>The religious policy of the Vijayanagara sovereigns was characterized by strategic syncretism and active royal mediation between competing sectarian traditions. Rather than enforcing state sectarianism, emperors positioned themselves as universal protectors of Dharma.</w:t>
      </w:r>
    </w:p>
    <w:tbl>
      <w:tblPr>
        <w:tblW w:type="auto" w:w="0"/>
        <w:jc w:val="center"/>
        <w:tblLook w:firstColumn="1" w:firstRow="1" w:lastColumn="0" w:lastRow="0" w:noHBand="0" w:noVBand="1" w:val="04A0"/>
      </w:tblPr>
      <w:tblGrid>
        <w:gridCol w:w="9936"/>
      </w:tblGrid>
      <w:tr>
        <w:tc>
          <w:tcPr>
            <w:tcW w:type="dxa" w:w="9792"/>
            <w:shd w:fill="FFF8EE"/>
            <w:tcMar>
              <w:top w:w="120" w:type="dxa"/>
              <w:bottom w:w="120" w:type="dxa"/>
              <w:left w:w="180" w:type="dxa"/>
              <w:right w:w="180" w:type="dxa"/>
            </w:tcMar>
            <w:tcBorders>
              <w:top w:val="none" w:sz="0" w:space="0" w:color="auto"/>
              <w:left w:val="single" w:sz="24" w:space="0" w:color="C27D38"/>
              <w:bottom w:val="none" w:sz="0" w:space="0" w:color="auto"/>
              <w:right w:val="none" w:sz="0" w:space="0" w:color="auto"/>
            </w:tcBorders>
          </w:tcPr>
          <w:p>
            <w:pPr>
              <w:spacing w:after="60"/>
            </w:pPr>
            <w:r>
              <w:rPr>
                <w:b/>
                <w:color w:val="A03C14"/>
                <w:sz w:val="19"/>
              </w:rPr>
              <w:t>[THE 1368 ROYAL EDICT OF CONCORD]</w:t>
              <w:br/>
            </w:r>
            <w:r>
              <w:rPr>
                <w:color w:val="3C3228"/>
                <w:sz w:val="20"/>
              </w:rPr>
              <w:t>EPIGRAPHICAL EDICT OF RELIGIOUS CONCORD (1368 CE):</w:t>
              <w:br/>
              <w:t>When violent sectarian disputes erupted between the Vaishnavas and Jains at Belur and Hampi, Emperor Bukka I issued a historic royal decree (recorded at Sravanabelagola and Hampi) declaring that Vaishnavism and Jainism were of one essence, ordering Vaishnavas to protect Jain holy places and guaranteeing freedom of worship under state protection.</w:t>
            </w:r>
          </w:p>
        </w:tc>
      </w:tr>
    </w:tbl>
    <w:p>
      <w:pPr>
        <w:spacing w:after="80"/>
      </w:pPr>
    </w:p>
    <w:p>
      <w:pPr>
        <w:keepNext/>
        <w:spacing w:before="200" w:after="60"/>
      </w:pPr>
      <w:r>
        <w:rPr>
          <w:rFonts w:ascii="Georgia" w:hAnsi="Georgia"/>
          <w:b/>
          <w:color w:val="3C3228"/>
          <w:sz w:val="25"/>
        </w:rPr>
        <w:t>Imperial Emblems &amp; Transition of Patronage</w:t>
      </w:r>
    </w:p>
    <w:p>
      <w:pPr>
        <w:spacing w:after="100" w:line="276" w:lineRule="auto"/>
      </w:pPr>
      <w:r>
        <w:t>• Imperial Royal Crest (Varaha Lanchana): The royal seal depicted the Boar (Varaha, an avatar of Vishnu) accompanied by a Sword and the Sun-Moon disc, symbolizing cosmic rescue and eternal rule.</w:t>
        <w:br/>
        <w:t>• Shift in Temple Foundations: The early Sangama capital was dominated by Shaiva structures on Hemakuta, whereas the 16th-century expansion under Krishnadevaraya and Achyutaraya witnessed the grandest temple complexes dedicated to Vishnu (Balakrishna, Vittala, Tiruvengalanatha, Rama).</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HAM-DOC-24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