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Georgia" w:hAnsi="Georgia"/>
          <w:b/>
          <w:color w:val="8C2D19"/>
          <w:sz w:val="44"/>
        </w:rPr>
        <w:t>29: CLOTHING, TEXTILES &amp; LAPIDARY JEWELRY</w:t>
      </w:r>
    </w:p>
    <w:p>
      <w:pPr>
        <w:spacing w:before="0" w:after="240"/>
      </w:pPr>
      <w:r>
        <w:rPr>
          <w:rFonts w:ascii="Georgia" w:hAnsi="Georgia"/>
          <w:i/>
          <w:color w:val="5A5046"/>
          <w:sz w:val="24"/>
        </w:rPr>
        <w:t>Muslins, Royal Kulavi Headgear, Zari Borders, Weaving Guilds, and Iconographic Costumes</w:t>
      </w:r>
    </w:p>
    <w:tbl>
      <w:tblPr>
        <w:tblW w:type="auto" w:w="0"/>
        <w:jc w:val="center"/>
        <w:tblLook w:firstColumn="1" w:firstRow="1" w:lastColumn="0" w:lastRow="0" w:noHBand="0" w:noVBand="1" w:val="04A0"/>
      </w:tblPr>
      <w:tblGrid>
        <w:gridCol w:w="4968"/>
        <w:gridCol w:w="4968"/>
      </w:tblGrid>
      <w:tr>
        <w:tc>
          <w:tcPr>
            <w:tcW w:type="dxa" w:w="2592"/>
            <w:shd w:fill="F2ECE4"/>
            <w:tcMar>
              <w:top w:w="60" w:type="dxa"/>
              <w:bottom w:w="60" w:type="dxa"/>
              <w:left w:w="100" w:type="dxa"/>
              <w:right w:w="100" w:type="dxa"/>
            </w:tcMar>
          </w:tcPr>
          <w:p>
            <w:pPr>
              <w:spacing w:after="0"/>
            </w:pPr>
            <w:r>
              <w:rPr>
                <w:b/>
                <w:color w:val="502814"/>
                <w:sz w:val="19"/>
              </w:rPr>
              <w:t>Project:</w:t>
            </w:r>
          </w:p>
        </w:tc>
        <w:tc>
          <w:tcPr>
            <w:tcW w:type="dxa" w:w="7200"/>
            <w:shd w:fill="FAF7F2"/>
            <w:tcMar>
              <w:top w:w="60" w:type="dxa"/>
              <w:bottom w:w="60" w:type="dxa"/>
              <w:left w:w="100" w:type="dxa"/>
              <w:right w:w="100" w:type="dxa"/>
            </w:tcMar>
          </w:tcPr>
          <w:p>
            <w:pPr>
              <w:spacing w:after="0"/>
            </w:pPr>
            <w:r>
              <w:rPr>
                <w:color w:val="323232"/>
                <w:sz w:val="19"/>
              </w:rPr>
              <w:t>Antigravity Indian Cultural Heritage Knowledge Platform (Hampi, Karnataka)</w:t>
            </w:r>
          </w:p>
        </w:tc>
      </w:tr>
      <w:tr>
        <w:tc>
          <w:tcPr>
            <w:tcW w:type="dxa" w:w="2592"/>
            <w:shd w:fill="F2ECE4"/>
            <w:tcMar>
              <w:top w:w="60" w:type="dxa"/>
              <w:bottom w:w="60" w:type="dxa"/>
              <w:left w:w="100" w:type="dxa"/>
              <w:right w:w="100" w:type="dxa"/>
            </w:tcMar>
          </w:tcPr>
          <w:p>
            <w:pPr>
              <w:spacing w:after="0"/>
            </w:pPr>
            <w:r>
              <w:rPr>
                <w:b/>
                <w:color w:val="502814"/>
                <w:sz w:val="19"/>
              </w:rPr>
              <w:t>Research Team:</w:t>
            </w:r>
          </w:p>
        </w:tc>
        <w:tc>
          <w:tcPr>
            <w:tcW w:type="dxa" w:w="7200"/>
            <w:shd w:fill="FAF7F2"/>
            <w:tcMar>
              <w:top w:w="60" w:type="dxa"/>
              <w:bottom w:w="60" w:type="dxa"/>
              <w:left w:w="100" w:type="dxa"/>
              <w:right w:w="100" w:type="dxa"/>
            </w:tcMar>
          </w:tcPr>
          <w:p>
            <w:pPr>
              <w:spacing w:after="0"/>
            </w:pPr>
            <w:r>
              <w:rPr>
                <w:color w:val="323232"/>
                <w:sz w:val="19"/>
              </w:rPr>
              <w:t>Historians, Epigraphists, Archaeologists, Architectural Historians, Anthropologists, Digital Knowledge Architects</w:t>
            </w:r>
          </w:p>
        </w:tc>
      </w:tr>
      <w:tr>
        <w:tc>
          <w:tcPr>
            <w:tcW w:type="dxa" w:w="2592"/>
            <w:shd w:fill="F2ECE4"/>
            <w:tcMar>
              <w:top w:w="60" w:type="dxa"/>
              <w:bottom w:w="60" w:type="dxa"/>
              <w:left w:w="100" w:type="dxa"/>
              <w:right w:w="100" w:type="dxa"/>
            </w:tcMar>
          </w:tcPr>
          <w:p>
            <w:pPr>
              <w:spacing w:after="0"/>
            </w:pPr>
            <w:r>
              <w:rPr>
                <w:b/>
                <w:color w:val="502814"/>
                <w:sz w:val="19"/>
              </w:rPr>
              <w:t>Source Hierarchy:</w:t>
            </w:r>
          </w:p>
        </w:tc>
        <w:tc>
          <w:tcPr>
            <w:tcW w:type="dxa" w:w="7200"/>
            <w:shd w:fill="FAF7F2"/>
            <w:tcMar>
              <w:top w:w="60" w:type="dxa"/>
              <w:bottom w:w="60" w:type="dxa"/>
              <w:left w:w="100" w:type="dxa"/>
              <w:right w:w="100" w:type="dxa"/>
            </w:tcMar>
          </w:tcPr>
          <w:p>
            <w:pPr>
              <w:spacing w:after="0"/>
            </w:pPr>
            <w:r>
              <w:rPr>
                <w:color w:val="323232"/>
                <w:sz w:val="19"/>
              </w:rPr>
              <w:t>Tier 1 (UNESCO, ASI, State Epigraphy) &amp; Tier 2 (Academic Monographs &amp; Journals)</w:t>
            </w:r>
          </w:p>
        </w:tc>
      </w:tr>
      <w:tr>
        <w:tc>
          <w:tcPr>
            <w:tcW w:type="dxa" w:w="2592"/>
            <w:shd w:fill="F2ECE4"/>
            <w:tcMar>
              <w:top w:w="60" w:type="dxa"/>
              <w:bottom w:w="60" w:type="dxa"/>
              <w:left w:w="100" w:type="dxa"/>
              <w:right w:w="100" w:type="dxa"/>
            </w:tcMar>
          </w:tcPr>
          <w:p>
            <w:pPr>
              <w:spacing w:after="0"/>
            </w:pPr>
            <w:r>
              <w:rPr>
                <w:b/>
                <w:color w:val="502814"/>
                <w:sz w:val="19"/>
              </w:rPr>
              <w:t>Geographical Context:</w:t>
            </w:r>
          </w:p>
        </w:tc>
        <w:tc>
          <w:tcPr>
            <w:tcW w:type="dxa" w:w="7200"/>
            <w:shd w:fill="FAF7F2"/>
            <w:tcMar>
              <w:top w:w="60" w:type="dxa"/>
              <w:bottom w:w="60" w:type="dxa"/>
              <w:left w:w="100" w:type="dxa"/>
              <w:right w:w="100" w:type="dxa"/>
            </w:tcMar>
          </w:tcPr>
          <w:p>
            <w:pPr>
              <w:spacing w:after="0"/>
            </w:pPr>
            <w:r>
              <w:rPr>
                <w:color w:val="323232"/>
                <w:sz w:val="19"/>
              </w:rPr>
              <w:t>Hampi World Heritage Site, Vijayanagara Metropolitan Region, Bellary/Vijayanagara Dist, Karnataka</w:t>
            </w:r>
          </w:p>
        </w:tc>
      </w:tr>
    </w:tbl>
    <w:p>
      <w:pPr>
        <w:spacing w:after="160"/>
      </w:pPr>
    </w:p>
    <w:p>
      <w:pPr>
        <w:keepNext/>
        <w:spacing w:before="280" w:after="80"/>
      </w:pPr>
      <w:r>
        <w:rPr>
          <w:rFonts w:ascii="Georgia" w:hAnsi="Georgia"/>
          <w:b/>
          <w:color w:val="8C2D19"/>
          <w:sz w:val="30"/>
        </w:rPr>
        <w:t>1. Costume History of the Vijayanagara Period</w:t>
      </w:r>
    </w:p>
    <w:p>
      <w:pPr>
        <w:spacing w:after="100" w:line="276" w:lineRule="auto"/>
      </w:pPr>
      <w:r>
        <w:t>Reconstructed from temple bas-reliefs, Virupaksha ceiling murals, and foreign travelogues, the clothing of Vijayanagara reflected climate, social rank, and an opulent textile industry:</w:t>
      </w:r>
    </w:p>
    <w:p>
      <w:pPr>
        <w:spacing w:after="100" w:line="276" w:lineRule="auto"/>
      </w:pPr>
      <w:r>
        <w:t>• Royal Attire: Sovereigns wore garments of fine muslin woven with gold and silver thread (Zari). King Krishnadevaraya is depicted wearing the 'Kulavi'—a high conical velvet and silk cap embroidered with pearls and gold wire, adapted from Persian and Deccani courtly headgear.</w:t>
        <w:br/>
        <w:t>• Courtly Ladies: Draped in nine-yard silk and cotton sarees (Kachche style) with intricately patterned borders, paired with short-sleeved embroidered tight-fitting bodices (Kanchuki).</w:t>
        <w:br/>
        <w:t>• Commoners &amp; Farmers: Men wore short cotton dhotis or waistcloths with shoulder cloths (Uttariya) and protective cloth turbans (Pagadi); women wore unstitched cotton sarees suited for agricultural labor.</w:t>
        <w:br/>
        <w:t>• Weaving Guilds: The Padmasali and Devanga artisan guilds operated vast handloom centers in suburban settlements, supplying cotton calicos for European and Southeast Asian export.</w:t>
      </w:r>
    </w:p>
    <w:sectPr w:rsidR="00FC693F" w:rsidRPr="0006063C" w:rsidSect="00034616">
      <w:headerReference w:type="default" r:id="rId9"/>
      <w:footerReference w:type="default" r:id="rId10"/>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eorgia" w:hAnsi="Georgia"/>
        <w:color w:val="8C8278"/>
        <w:sz w:val="16"/>
      </w:rPr>
      <w:t>Confidential &amp; Academic Heritage Documentation — Document Ref: HAM-DOC-29 — Vijayanagara Heritage Archive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Georgia" w:hAnsi="Georgia"/>
        <w:color w:val="786E64"/>
        <w:sz w:val="17"/>
      </w:rPr>
      <w:t>HAMPI CULTURAL HERITAGE ENCYCLOPEDIA | DIGITAL RESEARCH REPOSITORY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28282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