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31: MUSIC, DANCE &amp; THE PERFORMING ARTS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Carnatic Music Foundations, Haridasa Kirtanas, Court Dance Traditions, and Folk Theatre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Birthplace of Carnatic Classical Music Pedagogy</w:t>
      </w:r>
    </w:p>
    <w:p>
      <w:pPr>
        <w:spacing w:after="100" w:line="276" w:lineRule="auto"/>
      </w:pPr>
      <w:r>
        <w:t>Hampi holds an immortal position in Indian music history as the sacred ground where saint Purandaradasa codified the fundamental curriculum of Carnatic classical music:</w:t>
      </w:r>
    </w:p>
    <w:p>
      <w:pPr>
        <w:spacing w:after="100" w:line="276" w:lineRule="auto"/>
      </w:pPr>
      <w:r>
        <w:t>• Standardization of Teaching: Purandaradasa established the basic exercises (Sarale Varisegalu, Janti Varisegalu, Alankaras) and selected Mayamalavagowla as the initial scale (Raga) for musical instruction, a system followed by musicians to this day.</w:t>
        <w:br/>
        <w:t>• Musical Instruments in Reliefs: Hazara Rama and Vittala temple bas-reliefs depict an orchestra of classical instruments including the Veena, Tambura, Mridangam, Maddale, Talam (cymbals), flute (Venu), and Kahale (horns).</w:t>
        <w:br/>
        <w:t>• Dance Friezes: Temple pillars depict classical Natya postures following the Natya Shastra, as well as lively folk Kolata (stick dance) performances celebrated during spring festivals.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HAM-DOC-31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