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39: AGRICULTURE, RURAL LIFE &amp; IRRIGATION ECONOMY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Wet &amp; Dry Land Cultivation, The Ayagar System, Village Communities, and Agrarian Ecology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Agrarian Foundation of Imperial Stability</w:t>
      </w:r>
    </w:p>
    <w:p>
      <w:pPr>
        <w:spacing w:after="100" w:line="276" w:lineRule="auto"/>
      </w:pPr>
      <w:r>
        <w:t>The prosperity of Vijayanagara rested upon a sophisticated agricultural regime that classified land into three distinct categories: Nanjai (wet irrigated lands fed by river canals), Punjai (dry lands growing drought-resistant millets and pulses), and Thottam (garden orchards producing betel leaves, coconuts, bananas, and mangoes).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The Ayagar System of Village Governance</w:t>
      </w:r>
    </w:p>
    <w:p>
      <w:pPr>
        <w:spacing w:after="100" w:line="276" w:lineRule="auto"/>
      </w:pPr>
      <w:r>
        <w:t>Rural administration was organized around the 'Ayagar' system—a body of 12 hereditary village functionaries (including the Gauda/Headman, Senabhova/Accountant, Talayari/Watchman, Blacksmith, Carpenter, Washerman, Barber, and Water-Supervisor) who received tax-free service land grants (Manyam) in exchange for maintaining community infrastructure, boundary markers, and irrigation canals.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HAM-DOC-39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