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41: HAMPI AS A UNESCO CULTURAL LANDSCAPE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The Organic Synergy of Geology, Sacred Geography, Agro-Hydraulics &amp; Monumental Ruins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The Cultural Landscape Paradigm</w:t>
      </w:r>
    </w:p>
    <w:p>
      <w:pPr>
        <w:spacing w:after="100" w:line="276" w:lineRule="auto"/>
      </w:pPr>
      <w:r>
        <w:t>Hampi is recognized globally as a quintessential 'relict and continuing cultural landscape' where human ingenuity transformed a harsh, arid granite wilderness into a flourishing urban, sacred, and agricultural civilization.</w:t>
      </w:r>
    </w:p>
    <w:p>
      <w:pPr>
        <w:keepNext/>
        <w:spacing w:before="200" w:after="60"/>
      </w:pPr>
      <w:r>
        <w:rPr>
          <w:rFonts w:ascii="Georgia" w:hAnsi="Georgia"/>
          <w:b/>
          <w:color w:val="3C3228"/>
          <w:sz w:val="25"/>
        </w:rPr>
        <w:t>Core Landscape Vectors</w:t>
      </w:r>
    </w:p>
    <w:p>
      <w:pPr>
        <w:spacing w:after="100" w:line="276" w:lineRule="auto"/>
      </w:pPr>
      <w:r>
        <w:t>• Sacred Matrix: Hills (Hemakuta, Matanga, Anjanadri) and the sacred river treated as living divine entities.</w:t>
        <w:br/>
        <w:t>• Agricultural Terracing: Valley floors between boulder ridges irrigated by perennial canals, creating lush emerald ribbons of sugarcane and paddy amidst stark granite tors.</w:t>
        <w:br/>
        <w:t>• Architectural Symbiosis: Temples and fortifications built directly into living rock outcrops without altering natural ridgelines.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HAM-DOC-41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